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27, 2026</w:t>
      </w:r>
    </w:p>
    <w:p>
      <w:pPr>
        <w:spacing w:after="0" w:line="31" w:lineRule="exact"/>
        <w:rPr>
          <w:sz w:val="24"/>
          <w:szCs w:val="24"/>
          <w:color w:val="auto"/>
        </w:rPr>
      </w:pPr>
    </w:p>
    <w:p>
      <w:pPr>
        <w:ind w:left="92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NEWGENIVF GROUP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880" w:type="dxa"/>
            <w:vAlign w:val="bottom"/>
          </w:tcPr>
          <w:p>
            <w:pPr>
              <w:spacing w:after="0"/>
              <w:rPr>
                <w:sz w:val="19"/>
                <w:szCs w:val="19"/>
                <w:color w:val="auto"/>
              </w:rPr>
            </w:pPr>
          </w:p>
        </w:tc>
        <w:tc>
          <w:tcPr>
            <w:tcW w:w="7360" w:type="dxa"/>
            <w:vAlign w:val="bottom"/>
            <w:gridSpan w:val="3"/>
          </w:tcPr>
          <w:p>
            <w:pPr>
              <w:jc w:val="center"/>
              <w:ind w:right="379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34"/>
        </w:trPr>
        <w:tc>
          <w:tcPr>
            <w:tcW w:w="3880" w:type="dxa"/>
            <w:vAlign w:val="bottom"/>
          </w:tcPr>
          <w:p>
            <w:pPr>
              <w:spacing w:after="0"/>
              <w:rPr>
                <w:sz w:val="20"/>
                <w:szCs w:val="20"/>
                <w:color w:val="auto"/>
              </w:rPr>
            </w:pPr>
          </w:p>
        </w:tc>
        <w:tc>
          <w:tcPr>
            <w:tcW w:w="7360" w:type="dxa"/>
            <w:vAlign w:val="bottom"/>
            <w:gridSpan w:val="3"/>
          </w:tcPr>
          <w:p>
            <w:pPr>
              <w:jc w:val="center"/>
              <w:ind w:right="3770"/>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r>
      <w:tr>
        <w:trPr>
          <w:trHeight w:val="453"/>
        </w:trPr>
        <w:tc>
          <w:tcPr>
            <w:tcW w:w="3880" w:type="dxa"/>
            <w:vAlign w:val="bottom"/>
            <w:tcBorders>
              <w:bottom w:val="single" w:sz="8" w:color="auto"/>
            </w:tcBorders>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British Virgin Islands</w:t>
            </w:r>
          </w:p>
        </w:tc>
        <w:tc>
          <w:tcPr>
            <w:tcW w:w="1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3880" w:type="dxa"/>
            <w:vAlign w:val="bottom"/>
          </w:tcPr>
          <w:p>
            <w:pPr>
              <w:jc w:val="center"/>
              <w:ind w:left="155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88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Wing Fung Alfred Siu</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36/39-36/40, 13th Floor, PS Tower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Sukhumvit 21 Road (Asoke)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Khlong Toei Nuea Sub-district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Watthana District, Bangkok 10110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Thailand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+1 (212) 537-4406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offices)</w:t>
      </w:r>
    </w:p>
    <w:p>
      <w:pPr>
        <w:spacing w:after="0" w:line="203"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4420"/>
        <w:spacing w:after="0" w:line="208" w:lineRule="auto"/>
        <w:rPr>
          <w:sz w:val="20"/>
          <w:szCs w:val="20"/>
          <w:color w:val="auto"/>
        </w:rPr>
      </w:pPr>
      <w:r>
        <w:rPr>
          <w:rFonts w:ascii="Times New Roman" w:cs="Times New Roman" w:eastAsia="Times New Roman" w:hAnsi="Times New Roman"/>
          <w:sz w:val="18"/>
          <w:szCs w:val="18"/>
          <w:b w:val="1"/>
          <w:bCs w:val="1"/>
          <w:color w:val="auto"/>
        </w:rPr>
        <w:t>122 East 42</w:t>
      </w:r>
      <w:r>
        <w:rPr>
          <w:rFonts w:ascii="Times New Roman" w:cs="Times New Roman" w:eastAsia="Times New Roman" w:hAnsi="Times New Roman"/>
          <w:sz w:val="29"/>
          <w:szCs w:val="29"/>
          <w:b w:val="1"/>
          <w:bCs w:val="1"/>
          <w:color w:val="auto"/>
          <w:vertAlign w:val="superscript"/>
        </w:rPr>
        <w:t>nd</w:t>
      </w:r>
      <w:r>
        <w:rPr>
          <w:rFonts w:ascii="Times New Roman" w:cs="Times New Roman" w:eastAsia="Times New Roman" w:hAnsi="Times New Roman"/>
          <w:sz w:val="18"/>
          <w:szCs w:val="18"/>
          <w:b w:val="1"/>
          <w:bCs w:val="1"/>
          <w:color w:val="auto"/>
        </w:rPr>
        <w:t xml:space="preserve"> Street, 18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947-7200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Steve Lin,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Han Kun Law Offices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Rooms 4301-10, 43/F., Gloucester Tower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Landmark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 Queen’s Road Central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+852 2820 5600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From time to time after the effective date of this registration statement.</w:t>
      </w:r>
    </w:p>
    <w:p>
      <w:pPr>
        <w:spacing w:after="0" w:line="20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If only securities being registered on this Form are being offered pursuant to dividend or interest reinvestment plans, please check the following</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box. </w:t>
      </w:r>
      <w:r>
        <w:rPr>
          <w:rFonts w:ascii="MS PGothic" w:cs="MS PGothic" w:eastAsia="MS PGothic" w:hAnsi="MS PGothic"/>
          <w:sz w:val="18"/>
          <w:szCs w:val="18"/>
          <w:color w:val="auto"/>
        </w:rPr>
        <w:t>☐</w:t>
      </w:r>
    </w:p>
    <w:p>
      <w:pPr>
        <w:spacing w:after="0" w:line="212"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84"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225" w:right="339" w:bottom="189" w:gutter="0" w:footer="0" w:header="0"/>
        </w:sectPr>
      </w:pPr>
    </w:p>
    <w:bookmarkStart w:id="1" w:name="page2"/>
    <w:bookmarkEnd w:id="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(2)(B) of the Securities Act </w:t>
      </w:r>
      <w:r>
        <w:rPr>
          <w:rFonts w:ascii="MS PGothic" w:cs="MS PGothic" w:eastAsia="MS PGothic" w:hAnsi="MS PGothic"/>
          <w:sz w:val="18"/>
          <w:szCs w:val="18"/>
          <w:color w:val="auto"/>
        </w:rPr>
        <w:t>☐</w:t>
      </w:r>
    </w:p>
    <w:p>
      <w:pPr>
        <w:spacing w:after="0" w:line="20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180"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color w:val="FF0000"/>
        </w:rPr>
        <w:t>SUBJECT TO COMPLETION, DATED OCTOBER 27,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156845</wp:posOffset>
            </wp:positionV>
            <wp:extent cx="1525905"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9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NewGenIvf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US$100,000,000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 Units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from time to time in one or more offerings offer and sell our preferred shares, warrants, subscription rights and/or units, debt securities, or Class A ordinary shares.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provide specific terms of any offered securities and offering in a supplement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 them will be described in the applicable prospectus supplement. For a more complete description of the plan of distribution of these securities, see the section entitled “Plan of Distribution” beginning on page 49 of this prospectus.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General Instruction I.B.5 of Form F-3, in no event will we sell the securities covered hereby in a public primary offering with a value exceeding more than one-third of the aggregate market value of our Class A ordinary shares in any 12-month period so long as the aggregate market value of our issued and outstanding Class A ordinary shares held by non-affiliates remains below US$75,000,000. The aggregate market value of our issued and outstanding Class A ordinary shares held by non-affiliates, as of the date of this prospectus, was approximately US$1.38 million, which was calculated based on 1,188,914 Class A ordinary shares held by non-affiliates and the per Ordinary Share price of US$1.16, which was the closing price of our Class A ordinary shares on October 26, 2026. During the 12 calendar months prior to and including the date of this prospectus, we have not offered or sold any securities pursuant to General Instruction I.B.5 of Form F-3.</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under the symbol “NIVF.” On October 26, 2026, the last reported sale price of the Class A ordinary shares on the NASDAQ Capital Market was US$1.16 per share.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qualify as a “foreign private issuer,” as defined in Rule 405 under the U.S. Securities Act of 1933, as amended, or the Securities Act, thus we are eligible for reduced public company reporting requirements, and are permitted to rely on certain exemptions from Nasdaq corporate governance rules.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NewGenIvf Group Limited (“NewGenIvf,” “Company,” “our,” “we,” or “us”) is a British Virgin Islands holding company with our operations conducted through our subsidiaries in the Cayman Islands (our wholly-owned subsidiary, NewGenIvf Limited), British Virgin Islands (our wholly-owned subsidiaries, NewGenDigital Limited and NewGenProperty Limited) and the United States of America (our wholly-owned subsidiary, Microsort Lab Services LLC) and in Asia (Hong Kong, Thailand, Kyrgyzstan, and the Kingdom of Cambodia). Under this holding company structure, investors are purchasing equity interests in NewGenIvf, a British Virgin Islands holding company, and obtaining indirect ownership interests in our Cayman Islands, British Virgin Islands, United States of America and Asian operating subsidiaries. Substantially all of NewGenIvf’s operations and assets are based in Thailand, Cambodia and Kyrgyzstan. As a result, its businesses and operations are subject to the changing economic conditions prevailing from time to time in such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21, 2024, the Company received a notice from the Staff of Nasdaq notifying the Company that its securities are subject to delisting due to the MVPHS Deficiency and MLVS Deficiency. The Company requested a hearing to appeal the delisting determination before the Nasdaq Hearings Panel (the “Panel”) on November 27, 2024. On November 29, 2024, the Company received a formal notice from Nasdaq that the Panel will consider its appeal at an oral hearing on January 28, 2025 (the “Hearing”). On February 19, 2025, the Company received written decision from the Panel, which granted an extension, allowing the Company additional time to regain compliance with the Nasdaq Stock Market’s continued listing requirements, subject to meeting specific compliance criteria within designated timeframes. As of the date of this prospectus, in accordance with the Panel’s extension, the Company has already made progress on its compliance plan, including carrying out a 1-for-20 reverse stock split of its issued and unissued shares which was effected on February 11, 2025.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In addition, on February 27, 2025, the Company received a confirmation from Nasdaq that its application to transfer its listing to the Nasdaq Capital Market had been approved and that the Company’s securities would be transferred to the Nasdaq Capital Market at the opening of business on February 28, 2025.</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5, 2025, the Company effected a 1-for-10 reverse stock split of its issued and unissued shares. On August 4, 2025, the Company carried out a 1-for-5 reverse stock split of its issued and unissued shares. On December 1, 2025, the Company carried out a 1-for-5 reverse stock split of its issued and unissued shares. On January 26, 2026, the Company effected a 1-for-3 reverse stock split of its issued and unissued shares. On March 16, 2026, the Company effected a 1-for-4 reverse stock split of its issued and unissued shares. On July 6, 2026, the Company effected a 1-for-3 reverse stock split of its issued and unissued shares. On September 1, 2026, the Company effected a 1-for-3 reverse stock split of its issued and unissued shares. On October 12, 2026, the Company effected a 1-for-4 reverse stock split of its issued and unissued shares. On October 23, 2026, the Company effected a 1-for-8 reverse stock split of its issued and unissued shares.</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risks. See the “Risk Factors” section contained in the applicable prospectus supplement and the documents we incorporate by reference in this prospectus to read about factors you should consider before investing in our securities.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prospectus may not be used to offer or sell any securities unless accompanied by a prospectus supplement.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agents, underwriters, dealers or other third parties or directly to one or more purchasers on a continuous or delayed basis. The names of any underwriters will be stated in the applicable prospectus supplement.</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securities or passed upon the accuracy or adequacy of the disclosures in this prospectus, including any prospectus supplement and documents incorporated by reference. Any representation to the contrary is a criminal offense.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The date of this prospectus</w:t>
            </w:r>
          </w:p>
        </w:tc>
        <w:tc>
          <w:tcPr>
            <w:tcW w:w="5280" w:type="dxa"/>
            <w:vAlign w:val="bottom"/>
            <w:gridSpan w:val="2"/>
          </w:tcPr>
          <w:p>
            <w:pPr>
              <w:jc w:val="right"/>
              <w:ind w:right="3980"/>
              <w:spacing w:after="0"/>
              <w:rPr>
                <w:sz w:val="20"/>
                <w:szCs w:val="20"/>
                <w:color w:val="auto"/>
              </w:rPr>
            </w:pPr>
            <w:r>
              <w:rPr>
                <w:rFonts w:ascii="Times New Roman" w:cs="Times New Roman" w:eastAsia="Times New Roman" w:hAnsi="Times New Roman"/>
                <w:sz w:val="18"/>
                <w:szCs w:val="18"/>
                <w:color w:val="auto"/>
              </w:rPr>
              <w:t>, 2026</w:t>
            </w:r>
          </w:p>
        </w:tc>
      </w:tr>
      <w:tr>
        <w:trPr>
          <w:trHeight w:val="675"/>
        </w:trPr>
        <w:tc>
          <w:tcPr>
            <w:tcW w:w="5960" w:type="dxa"/>
            <w:vAlign w:val="bottom"/>
            <w:tcBorders>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3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6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340" w:type="dxa"/>
            <w:vAlign w:val="bottom"/>
            <w:tcBorders>
              <w:bottom w:val="single" w:sz="8" w:color="CCEEFF"/>
            </w:tcBorders>
            <w:gridSpan w:val="10"/>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858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660" w:type="dxa"/>
            <w:vAlign w:val="bottom"/>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3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OUR COMPANY</w:t>
            </w:r>
          </w:p>
        </w:tc>
        <w:tc>
          <w:tcPr>
            <w:tcW w:w="7260" w:type="dxa"/>
            <w:vAlign w:val="bottom"/>
            <w:tcBorders>
              <w:bottom w:val="single" w:sz="8" w:color="CCEEFF"/>
            </w:tcBorders>
            <w:gridSpan w:val="15"/>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858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6"/>
        </w:trPr>
        <w:tc>
          <w:tcPr>
            <w:tcW w:w="85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60" w:type="dxa"/>
            <w:vAlign w:val="bottom"/>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58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PREFERRED SHARES</w:t>
            </w:r>
          </w:p>
        </w:tc>
        <w:tc>
          <w:tcPr>
            <w:tcW w:w="5320" w:type="dxa"/>
            <w:vAlign w:val="bottom"/>
            <w:tcBorders>
              <w:bottom w:val="single" w:sz="8" w:color="CCEEFF"/>
            </w:tcBorders>
            <w:gridSpan w:val="5"/>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5"/>
        </w:trPr>
        <w:tc>
          <w:tcPr>
            <w:tcW w:w="858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540" w:type="dxa"/>
            <w:vAlign w:val="bottom"/>
            <w:tcBorders>
              <w:bottom w:val="single" w:sz="8" w:color="CCEEFF"/>
            </w:tcBorders>
            <w:gridSpan w:val="6"/>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176"/>
        </w:trPr>
        <w:tc>
          <w:tcPr>
            <w:tcW w:w="858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6"/>
        </w:trPr>
        <w:tc>
          <w:tcPr>
            <w:tcW w:w="85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660" w:type="dxa"/>
            <w:vAlign w:val="bottom"/>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58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6"/>
        </w:trPr>
        <w:tc>
          <w:tcPr>
            <w:tcW w:w="85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TAXATION</w:t>
            </w:r>
          </w:p>
        </w:tc>
        <w:tc>
          <w:tcPr>
            <w:tcW w:w="2660" w:type="dxa"/>
            <w:vAlign w:val="bottom"/>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8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85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60" w:type="dxa"/>
            <w:vAlign w:val="bottom"/>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176"/>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120" w:type="dxa"/>
            <w:vAlign w:val="bottom"/>
            <w:tcBorders>
              <w:top w:val="single" w:sz="8" w:color="CCEEFF"/>
            </w:tcBorders>
            <w:gridSpan w:val="14"/>
          </w:tcPr>
          <w:p>
            <w:pPr>
              <w:spacing w:after="0"/>
              <w:rPr>
                <w:sz w:val="15"/>
                <w:szCs w:val="15"/>
                <w:color w:val="auto"/>
              </w:rPr>
            </w:pPr>
          </w:p>
        </w:tc>
        <w:tc>
          <w:tcPr>
            <w:tcW w:w="2660" w:type="dxa"/>
            <w:vAlign w:val="bottom"/>
            <w:tcBorders>
              <w:top w:val="single" w:sz="8" w:color="CCEEFF"/>
            </w:tcBorders>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85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 ABOUT US</w:t>
            </w:r>
          </w:p>
        </w:tc>
        <w:tc>
          <w:tcPr>
            <w:tcW w:w="2660" w:type="dxa"/>
            <w:vAlign w:val="bottom"/>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176"/>
        </w:trPr>
        <w:tc>
          <w:tcPr>
            <w:tcW w:w="476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3820" w:type="dxa"/>
            <w:vAlign w:val="bottom"/>
            <w:tcBorders>
              <w:top w:val="single" w:sz="8" w:color="CCEEFF"/>
            </w:tcBorders>
          </w:tcPr>
          <w:p>
            <w:pPr>
              <w:spacing w:after="0"/>
              <w:rPr>
                <w:sz w:val="15"/>
                <w:szCs w:val="15"/>
                <w:color w:val="auto"/>
              </w:rPr>
            </w:pPr>
          </w:p>
        </w:tc>
        <w:tc>
          <w:tcPr>
            <w:tcW w:w="2660" w:type="dxa"/>
            <w:vAlign w:val="bottom"/>
            <w:tcBorders>
              <w:top w:val="single" w:sz="8" w:color="CCEEFF"/>
            </w:tcBorders>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064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6064885"/>
                    </a:xfrm>
                    <a:prstGeom prst="rect">
                      <a:avLst/>
                    </a:prstGeom>
                    <a:noFill/>
                  </pic:spPr>
                </pic:pic>
              </a:graphicData>
            </a:graphic>
          </wp:anchor>
        </w:drawing>
        <w:t>ABOUT THIS PROSPECTUS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is part of a shelf registration statement that we filed with the Securities and Exchange Commission, or the SEC. By using a shelf registration statement, we may, at any time and from time to time, offer and sell up to an aggregate of US$100 million of the securities as described in this prospectus in one or more offerings. We may also add, update or change information contained in this prospectus by means of a prospectus supplement or by incorporating by reference information that we file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the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as described under “Where You Can Find More Information About Us.”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this prospectus, unless otherwise indicated or unless the context otherwise requires, references 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“ASCA” means A SPAC I Acquisition Corp., a British Virgin Islands business company.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SPAC I Mini Acquisition Corp.” means A SPAC I Mini Acquisition Corp., a British Virgin Islands business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“Business Combination” means the transactions contemplated by the Merger Agreement, pursuant to which (i) ASCA reincorporated to the British Virgin Islands by merging with and into the Company; and (ii) Merger Sub merged with and into Legacy NewGenIvf, resulting in Legacy NewGenIvf being a wholly-owned subsidiary of the Company.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“BVI” means British Virgin Islands.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“BVI Act” means BVI Business Companies Act (As Revised).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“Class A Ordinary Share” means Class A ordinary shares of the Company, no par value per share.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“Class B Ordinary Share” means (x) the Company’s Class B ordinary shares with no par value per share, and (y) any shares into which such ordinary shares shall have been changed or any shares resulting from a reclassification of such ordinary shares.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“Closing” means the consummation of the Business Combination, which occurred on April 3, 2024.</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“Company” means NewGenIvf Group Limited, a British Virgin Islands business company, the surviving entity of the Business Combination.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“Tenth Reverse Stock Split” means the 1-for-8 reverse stock split effected by the Company on October 23, 2026.</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“Ninth Reverse Stock Split” means the 1-for-4 reverse stock split effected by the Company on October 12, 2026.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025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7025005"/>
                    </a:xfrm>
                    <a:prstGeom prst="rect">
                      <a:avLst/>
                    </a:prstGeom>
                    <a:noFill/>
                  </pic:spPr>
                </pic:pic>
              </a:graphicData>
            </a:graphic>
          </wp:anchor>
        </w:drawing>
        <w:t>“Eighth Reverse Stock Split” means the 1-for-3 reverse stock split effected by the Company on September 1, 2026</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“First Reverse Stock Split” means the 1-for-20 reverse stock split effected by the Company on February 11, 2025.</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“Fourth Reverse Stock Split” means the 1-for-5 reverse stock split effected by the Company on December 1, 2025.</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“Fifth Reverse Stock Split” means the 1-for-3 reverse stock split effected by the Company on January 26, 2026.</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“Legacy NewGenIvf” means NewGenIvf Limited, a Cayman Islands exempted company, which became a wholly owned subsidiary of ASCA upon the Closing.</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“Merger Agreement” means the Merger Agreement entered into on February 15, 2023, and as amended on June 12, 2023 and December 6, 2023, between ASCA, A SPAC I Mini Acquisition Corp., Merger Sub, Legacy NewGenIvf, and certain shareholders of Legacy NewGenIvf, pursuant to which the Reincorporation Merger and Acquisition Merger were consummated.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“Merger Sub” means A SPAC I Mini Sub Acquisition Corp., a Cayman Islands exempted company and former wholly-owned subsidiary of A SPAC I Mini Acquisition Corp.</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“Memorandum and Articles of Association” means the Company’s Amended and Restated Memorandum and Articles of Association, as and restated on July 4, 2025.</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“NewGenIvf” means NewGenIvf Group Limited, a British Virgin Islands business company, the surviving entity of the Business Combination, unless the context so requires.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“Ordinary Shares” means the Class A Ordinary Shares and Class B Ordinary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“Preferred Shares” means preferred shares of the Company, no par value per share.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“Reincorporation Merger” means the first step of the Business Combination which occurred pursuant to the Merger Agreement, in which ASCA reincorporated to the British Virgin Islands by merging with and into A SPAC I Mini Acquisition Corp.</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“Reverse Stock Splits” means the First Reverse Stock Split, the Second Reverse Stock Split, the Third Reverse Stock Split, the Fourth Reverse Stock Split, the Fifth Reverse Stock Split, the Sixth Reverse Stock Split, the Seventh Reverse Stock Split, the Eighth Reverse Stock Split, the Ninth Reverse Stock Split, and the Tenth Reverse Stock Split. In this registration statement, where we state historical share and per-share numbers, we have, where appropriate, reflected a retroactive adjustment due to the Reverse Stock Splits in parentheses.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“Second Reverse Stock Split” means the 1-for-10 reverse stock split effected by the Company on May 5, 2025.</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“Seventh Reverse Stock Split” means the 1-for-3 reverse stock split effected by the Company on July 6, 2026.</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“Sixth Reverse Stock Split” means the 1-for-4 reverse stock split effected by the Company on March 16, 2026.</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“Third Reverse Stock Split” means the 1-for-5 reverse stock split effected by the Company on August 4, 2025.</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“us,” “our” and the “Company” refer to NewGenIvf Group Limited and its subsidiaries including but not limited to, NewGenIvf Limited, a Cayman Islands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References in any prospectus supplement to “the accompanying prospectus” are to this prospectus and to “the prospectus” are to this prospectus and the applicable prospectus supplement taken together.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299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7299325"/>
                    </a:xfrm>
                    <a:prstGeom prst="rect">
                      <a:avLst/>
                    </a:prstGeom>
                    <a:noFill/>
                  </pic:spPr>
                </pic:pic>
              </a:graphicData>
            </a:graphic>
          </wp:anchor>
        </w:drawing>
        <w:t>FORWARD-LOOKING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risks and uncertainties. All statements other than statements of current or historical facts are forward-looking statements. These statements involve known and unknown risks, uncertainties and other factors, including those listed under “Risk Factors,” that may cause our actual results, performance or achievements to be materially different from those expressed or implied by the forward-looking statements.</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some cases, 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not limited to, statements about:</w:t>
      </w:r>
    </w:p>
    <w:p>
      <w:pPr>
        <w:spacing w:after="0" w:line="180" w:lineRule="exact"/>
        <w:rPr>
          <w:sz w:val="20"/>
          <w:szCs w:val="20"/>
          <w:color w:val="auto"/>
        </w:rPr>
      </w:pPr>
    </w:p>
    <w:p>
      <w:pPr>
        <w:ind w:left="960" w:hanging="320"/>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level of revenues and capital expenditures;</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sell our products and services;</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continue to invest in research and development to develop technology for both existing and new products;</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suppliers, manufacturers and other partners;</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protect the validity of our intellectual property and know-how;</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executive members;</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internally develop and protect new inventions and intellectual property;</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expose and educate the industry about the use of our services and products;</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tax classifications; and</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interpretations of current laws and the passages of future laws.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 to in this prospectus thoroughly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forward-looking statements made in this prospectus relate only to events or information as of the date on which the statements are made in this prospectus. Except as required by law, we undertake no obligation to update or revise any forward-looking statements, whether as a result of new information, future events or otherwise.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also contains statistical data and estimates that we obtained from industry publications and reports generated by government or third-party providers of market intelligence. Although we have not independently verified the data, we believe that the publications and reports are reliable. However, the statistical data and estimates in these publications and reports are based on a number of assumptions and if any one or more of the assumptions underlying the market data are later found to be incorrect, actual results may differ from the projections based on these assumptions. In addition, due to the rapidly evolving nature of the industry in which we operate, projections or estimates about our business and financial prospects involve significant risks and uncertainties.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476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OUR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 assisted reproductive services (“ARS”) provider in Asia-Pacific. Since the opening of our first clinic in Thailand in 2014, we have established ourselves as a long-standing ARS provider in this region. Our strategic presence in Thailand, Cambodia, and Kyrgyzstan positions us to take advantage of opportunities across Asia-Pacific. According to China Insights Consultancy (“CIC”), from 2014 to 2022, there was a rising number of women in the key ARS-targeted age group (ages 15 to 49) in Asia Pacific and a growing trend towards later maternal age. The number of married women of reproductive age in Asia Pacific has risen from 816.4 million in 2014 to 833.2 million in 2022. Additionally, according to CIC, there was increasing social acceptance of ARS use in Asia Pacific countries such as China, India, and Thailand during the same period. For example, the number of ARS users in China has risen from 136.8 thousand in 2017 to 184.9 thousand in 2022 approximately and that in Japan has risen from 98.0 thousand in 2017 to 128.5 thousand in 2022.</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 to CIC, the prevalence of infertility in Asia-Pacific developing countries is substantial. For example, the infertility rate in Thailand, India and China was about 15.4%, 13.8% and 17.8%, respectively, in 2022. In India, the infertility rate in 2020 was approximately 13.1%, representing an annual growth of 2.6%. The infertility rate in China was around 17.6% in 2020, representing an annual growth of 0.6%. Infertility is increasingly gaining society’s attention as individuals are more openly discussing their struggles. Despite the prevalence of infertility, access to treatment is often limited in the Asia Pacific region. According to CIC, financial challenges, costs of treatment, and limited availability or capacity of fertility medical care are some of the main challenges in the fertility marketplace in Asia-Pacific region. Religious, social and cultural roadblocks can also prevent hopeful couples from realizing their dream to have children. We believe that we can help address some of these key challenges of Asia-Pacific fertility industry.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and Development of the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Business Combination, on April 29, 2021, A SPAC I Acquisition Corp. (“ASCA”), was incorporated as a British Virgin Islands business company, specifically a blank check company formed for the purpose of effecting a merger, share exchange, asset acquisition, share purchase, recapitalization, reorganization or similar business combination with one or more target businesses.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Business Combination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15, 2023, ASCA entered into the Merger Agreement (as amended on June 12, 2023 and December 6, 2023, the “Merger Agreement,” and the transactions contemplated thereunder, the “Business Combination”) with A SPAC I Mini Acquisition Corp., Merger Sub, NewGenIvf Limited, a Cayman Islands exempted company (“Legacy NewGenIvf”) and certain shareholders of Legacy NewGenIvf. Pursuant to the Merger Agreement, the Business Combination was effected in two steps: (i) ASCA was reincorporated to the British Virgin Islands by merging with and into A SPAC I Mini Acquisition Corp. (such transaction, the “Reincorporation Merger”); and (ii) Merger Sub merged with and into Legacy NewGenIvf, resulting in Legacy NewGenIvf being a wholly-owned subsidiary of the Company (such second step in isolation, the “Acquisition Merger”). The surviving entity of the Business Combination, together with its subsidiaries is referred to in this prospectus as “NewGenIvf,” the “Company,” “we,” “our,” or “us,” unless the context otherwise requires.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12, 2023, the parties to the Merger Agreement entered into the First Amendment to Merger Agreement (the “First Amendment”), pursuant to which Legacy NewGenIvf agreed to provide non-interest bearing loans in an aggregate principal amount of up to $560,000 (the “Loan”) to ASCA to fund any amount that would be required in order to further extend the period of time available for ASCA to consummate a business combination and for ASCA’s working capital, payment of professional, administrative and operational fees and expenses, and other purposes as mutually agreed by ASCA and Legacy NewGenIvf. Such loans were to become repayable upon the closing of the Acquisition Merger. In addition, pursuant to the First Amendment, subject to receipt of at least $140,000 as part of the Loan from NewGenIvf, ASCA agreed to waive its termination rights and the right to receive any break-up fee due to Legacy NewGenIvf’s failure to deliver audited financial statements by no later than February 28, 2023.</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9" w:name="page10"/>
    <w:bookmarkEnd w:id="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064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6064885"/>
                    </a:xfrm>
                    <a:prstGeom prst="rect">
                      <a:avLst/>
                    </a:prstGeom>
                    <a:noFill/>
                  </pic:spPr>
                </pic:pic>
              </a:graphicData>
            </a:graphic>
          </wp:anchor>
        </w:drawing>
        <w:t>On December 6, 2023, the parties to the Merger Agreement entered into the Second Amendment to the Merger Agreement (the “Second Amendment”) which amended and modified the Merger Agreement to, among other things, (i) reduce the size of NewGenIvf’s board of directors following the consummation of the Business Combination to five (5) directors, two (2) of whom would be executive directors designated by NewGenIvf and three (3) of whom will be designated by NewGenIvf to serve as independent directors in accordance with Nasdaq requirements, (ii) provide for the conversion of NewGenIvf shares issued by NewGenIvf following the original date of the Merger Agreement into Class A Ordinary Shares in connection with the Acquisition Merger, and (iii) remove the condition that ASCA have in excess of $5,000,000 in net tangible assets immediately after the consummation of the Business Combination.</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April 3, 2024, the Business Combination was consummated with the Company as the surviving entity.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NewGenIvf’s Business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With a focus on providing fertility treatments to fulfil the dreams of building families, NewGenIvf mainly offers two services, namely: (i) in vitro fertilization (“IVF”) treatment service, comprising traditional IVF and egg donation; and (ii) surrogacy and ancillary caring services. Currently, we have three clinics: one clinic in Thailand, one clinic in Cambodia, and one clinic in Kyrgyzstan.</w:t>
      </w:r>
    </w:p>
    <w:p>
      <w:pPr>
        <w:spacing w:after="0" w:line="172" w:lineRule="exact"/>
        <w:rPr>
          <w:sz w:val="20"/>
          <w:szCs w:val="20"/>
          <w:color w:val="auto"/>
        </w:rPr>
      </w:pPr>
    </w:p>
    <w:p>
      <w:pPr>
        <w:jc w:val="both"/>
        <w:ind w:left="960" w:right="20" w:hanging="320"/>
        <w:spacing w:after="0" w:line="25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IVF treatment service: </w:t>
      </w:r>
      <w:r>
        <w:rPr>
          <w:rFonts w:ascii="Times New Roman" w:cs="Times New Roman" w:eastAsia="Times New Roman" w:hAnsi="Times New Roman"/>
          <w:sz w:val="18"/>
          <w:szCs w:val="18"/>
          <w:color w:val="auto"/>
        </w:rPr>
        <w:t>For the six months ended June 30, 2025 and 2026, we generated approximately 100% and 81.8% respectively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revenue from IVF treatments. We primarily provide our clients with conventional IVF/intracytoplasmic sperm injection (“ICSI”) and embryo transfer services. As technology has progressively advanced, we have been able to, through technologies and facilities provided by MicroSort technology, help fulfill the family-balancing dreams of its clients and avoiding certain gender-related hereditary diseases. IVF treatment involves the performance of a series of medical treatment and procedures that are not separately distinct and only brings benefits to clients when embryo is successfully implanted, therefore revenue from IVF treatment is recognized at a point in time when it is completed in clinic. The completion of this treatment is evidenced by a written IVF report indicating successful embryo implantation.</w:t>
      </w:r>
    </w:p>
    <w:p>
      <w:pPr>
        <w:spacing w:after="0" w:line="182" w:lineRule="exact"/>
        <w:rPr>
          <w:rFonts w:ascii="Times New Roman" w:cs="Times New Roman" w:eastAsia="Times New Roman" w:hAnsi="Times New Roman"/>
          <w:sz w:val="18"/>
          <w:szCs w:val="18"/>
          <w:color w:val="auto"/>
        </w:rPr>
      </w:pPr>
    </w:p>
    <w:p>
      <w:pPr>
        <w:jc w:val="both"/>
        <w:ind w:left="960" w:right="20" w:hanging="320"/>
        <w:spacing w:after="0" w:line="263" w:lineRule="auto"/>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Fertility referral services: </w:t>
      </w:r>
      <w:r>
        <w:rPr>
          <w:rFonts w:ascii="Times New Roman" w:cs="Times New Roman" w:eastAsia="Times New Roman" w:hAnsi="Times New Roman"/>
          <w:sz w:val="18"/>
          <w:szCs w:val="18"/>
          <w:color w:val="auto"/>
        </w:rPr>
        <w:t>We also generate revenue from fertility referral services in Kyrgyzstan. For the six months ended June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and 2026, we generated approximately Nil% and 18.2 %, of our revenue from fertility referral services. For customers who were</w:t>
      </w:r>
    </w:p>
    <w:p>
      <w:pPr>
        <w:spacing w:after="0" w:line="1" w:lineRule="exact"/>
        <w:rPr>
          <w:sz w:val="20"/>
          <w:szCs w:val="20"/>
          <w:color w:val="auto"/>
        </w:rPr>
      </w:pPr>
    </w:p>
    <w:p>
      <w:pPr>
        <w:jc w:val="both"/>
        <w:ind w:left="960" w:right="20"/>
        <w:spacing w:after="0" w:line="255" w:lineRule="auto"/>
        <w:rPr>
          <w:sz w:val="20"/>
          <w:szCs w:val="20"/>
          <w:color w:val="auto"/>
        </w:rPr>
      </w:pPr>
      <w:r>
        <w:rPr>
          <w:rFonts w:ascii="Times New Roman" w:cs="Times New Roman" w:eastAsia="Times New Roman" w:hAnsi="Times New Roman"/>
          <w:sz w:val="18"/>
          <w:szCs w:val="18"/>
          <w:color w:val="auto"/>
        </w:rPr>
        <w:t>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and 2026, NewGenIvf’s revenue was US$2,019,628 and US$1,924,881, and its net income/(loss) was US$698,032 and US$(8,079,392), respectively.</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NewGenIvf believes that the following competitive strengths have positioned it to meet growing opportunities in the fertility market across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Asia-Pacific, and have differentiated it from its competitors: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Broad-range Assisted Reproductive Service (“ARS”) Provider Offering Comprehensive Fertility Treatment Services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With almost a decade of experience in the fertility market, NewGenIvf has built a reputation in the IVF industry in Asia-Pacific. NewGenIvf has reinforced its long-standing position through expanding its service offerings and locations to address the evolving clients’ needs or requests.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10" w:name="page11"/>
    <w:bookmarkEnd w:id="1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025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7025005"/>
                    </a:xfrm>
                    <a:prstGeom prst="rect">
                      <a:avLst/>
                    </a:prstGeom>
                    <a:noFill/>
                  </pic:spPr>
                </pic:pic>
              </a:graphicData>
            </a:graphic>
          </wp:anchor>
        </w:drawing>
        <w:t>NewGenIvf’s comprehensive fertility treatment offerings in Thailand, Cambodia, and Kyrgyzstan, primarily including IVF, egg donation (in Cambodia) and surrogacy services (in Kyrgyzstan), make it convenient for clients in Asia-Pacific market to have access to various fertility services but with a relatively low cost, as compared with the US market. Meanwhile, the average cost per IVF cycle by NewGenIvf is around US$7,000 (excluding medication). Each of NewGenIvf’s clinics in Thailand, Cambodia, and Kyrgyzstan has its own specialty, and together, NewGenIvf is able to provide more flexibility and options to its patients. For example, NewGenIvf’s Thailand clinic focuses on IVF and related ancillary services including HIV sperm washing, egg freezing, and chromosome screening. The clinic in Cambodia specializes in providing both IVF services and egg donation services. NewGenIvf opened the clinic in Kyrgyzstan in 2019, which broadened NewGenIvf’s services by being legally qualified/received approval letter from The Ministry of Health of Kyrgyzstan to offer surrogacy services.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NewGenIvf attributes its track record of success to its experienced physicians and its ability to provide comprehensive ARS services, allowing it to meet patients’ increasing demand for advanced, high-end, and sophisticated ARS, a higher standard and a wider range of advanced services.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NewGenIvf has extensive experience serving Asia-Pacific patients and a deep understanding of their general profiles. In particular, NewGenIvf has personnel speaking multiple languages, including nurses, facilitators, and translators, who are familiar with the health condition and culture of Asia-Pacific patients from different countries in the region. NewGenIvf believes that it is therefore well-positioned to benefit from market growth driven by Asia-Pacific patients travelling to its clinics for treatment.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Attractive Market with Significant Demand and Fast Growth</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NewGenIvf operates in the ARS market in Asia Pacific, positioning it to leverage on an attractive market with compelling underlying growth potential.</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Built on years of experience, NewGenIvf has established a strong reputation in its industry, which in turn attracted potential business partners to approach NewGenIvf to negotiate cooperations and referrals. Over the years, NewGenIvf sends representatives to medical expos mostly held in the PRC to approach potential business partners and establish new partnerships by entering into agency agreements with each agent. NewGenIvf has become a significant partner with agents and sub-agents throughout China and India. Normally, each agency agreement has a maximum term of one year, which is renewable upon mutual agreement. Agents typically market and promote NewGenIvf’s services by word-to-mouth referrals and other measures and NewGenIvf pays the agents commission at a range of 10% to 25% of the treatment fees upon the completion of client’s treatment. Normally, agents provide potential clients’ contact information to the sales team of NewGenIvf, who then approach potential clients and provide consultation on services. With its partnerships in various countries, NewGenIvf believes it is able to better benefit from the growing market opportunities.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Exclusively Owned and Licensed Technology for Family Planning and Access to Mature Fertility Technologies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NewGenIvf believes that its licenses and/or access to mature technologies contribute to its ability to identify and tailor ARS services to individual patient’s needs. These technologies include:</w:t>
      </w:r>
    </w:p>
    <w:p>
      <w:pPr>
        <w:spacing w:after="0" w:line="160" w:lineRule="exact"/>
        <w:rPr>
          <w:sz w:val="20"/>
          <w:szCs w:val="20"/>
          <w:color w:val="auto"/>
        </w:rPr>
      </w:pPr>
    </w:p>
    <w:p>
      <w:pPr>
        <w:jc w:val="both"/>
        <w:ind w:left="960" w:right="20" w:hanging="320"/>
        <w:spacing w:after="0" w:line="253" w:lineRule="auto"/>
        <w:tabs>
          <w:tab w:leader="none" w:pos="9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MicroSort Technology: </w:t>
      </w:r>
      <w:r>
        <w:rPr>
          <w:rFonts w:ascii="Times New Roman" w:cs="Times New Roman" w:eastAsia="Times New Roman" w:hAnsi="Times New Roman"/>
          <w:sz w:val="18"/>
          <w:szCs w:val="18"/>
          <w:color w:val="auto"/>
        </w:rPr>
        <w:t>NewGenIvf acquired the MicroSort Business from Genetics &amp; IVF Institute, Inc. (“GIVF”) pursuant to a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dated January 21, 2025 between NewGenIvf and GIVF (“Purchase Agreement”). As such NewGenIvf exclusively owns the MicroSort Technology. Prior to the closing of the MicroSort Acquisition, NewGenIvf held an exclusive license granted by a division of the Genetics &amp; IVF Institute, Inc. to use MicroSort technology in Thailand and Cambodia.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11" w:name="page12"/>
    <w:bookmarkEnd w:id="11"/>
    <w:p>
      <w:pPr>
        <w:jc w:val="both"/>
        <w:ind w:left="960" w:right="20" w:hanging="320"/>
        <w:spacing w:after="0" w:line="261"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339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6339205"/>
                    </a:xfrm>
                    <a:prstGeom prst="rect">
                      <a:avLst/>
                    </a:prstGeom>
                    <a:noFill/>
                  </pic:spPr>
                </pic:pic>
              </a:graphicData>
            </a:graphic>
          </wp:anchor>
        </w:drawing>
        <w:t>Preimplantation Genetic Screening (“PGS”)</w:t>
      </w:r>
      <w:r>
        <w:rPr>
          <w:rFonts w:ascii="Times New Roman" w:cs="Times New Roman" w:eastAsia="Times New Roman" w:hAnsi="Times New Roman"/>
          <w:sz w:val="18"/>
          <w:szCs w:val="18"/>
          <w:color w:val="auto"/>
        </w:rPr>
        <w:t>: PGS is used in parallel with an IVF treatment cycle. PGS is the practice of determining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p>
      <w:pPr>
        <w:spacing w:after="0" w:line="179" w:lineRule="exact"/>
        <w:rPr>
          <w:rFonts w:ascii="Times New Roman" w:cs="Times New Roman" w:eastAsia="Times New Roman" w:hAnsi="Times New Roman"/>
          <w:sz w:val="18"/>
          <w:szCs w:val="18"/>
          <w:color w:val="auto"/>
        </w:rPr>
      </w:pPr>
    </w:p>
    <w:p>
      <w:pPr>
        <w:jc w:val="both"/>
        <w:ind w:left="960" w:right="20" w:hanging="320"/>
        <w:spacing w:after="0" w:line="25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Next-Generation Sequencing (“NGS”)</w:t>
      </w:r>
      <w:r>
        <w:rPr>
          <w:rFonts w:ascii="Times New Roman" w:cs="Times New Roman" w:eastAsia="Times New Roman" w:hAnsi="Times New Roman"/>
          <w:sz w:val="18"/>
          <w:szCs w:val="18"/>
          <w:color w:val="auto"/>
        </w:rPr>
        <w:t>: NGS is a high-throughput technology for determining the sequence of deoxyribonucleic acid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(“DNA”) or ribonucleic acid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p>
      <w:pPr>
        <w:spacing w:after="0" w:line="183" w:lineRule="exact"/>
        <w:rPr>
          <w:rFonts w:ascii="Times New Roman" w:cs="Times New Roman" w:eastAsia="Times New Roman" w:hAnsi="Times New Roman"/>
          <w:sz w:val="18"/>
          <w:szCs w:val="18"/>
          <w:color w:val="auto"/>
        </w:rPr>
      </w:pPr>
    </w:p>
    <w:p>
      <w:pPr>
        <w:jc w:val="both"/>
        <w:ind w:left="960" w:right="20" w:hanging="320"/>
        <w:spacing w:after="0" w:line="257"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Preimplantation Genetic Diagnosis (“PGD”)</w:t>
      </w:r>
      <w:r>
        <w:rPr>
          <w:rFonts w:ascii="Times New Roman" w:cs="Times New Roman" w:eastAsia="Times New Roman" w:hAnsi="Times New Roman"/>
          <w:sz w:val="18"/>
          <w:szCs w:val="18"/>
          <w:color w:val="auto"/>
        </w:rPr>
        <w:t>: Similar to PGS, PGD is also used in parallel with an IVF treatment cycle. But PGD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more enhanced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better achieve a healthy pregnancy. Individuals who suspect or know they carry genes for serious medical conditions may opt to screen for healthy embryos ahead of time.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 Established Brand with Reliable Reputation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founders of NewGenIvf entered the fertility market as agents in 2011 by introducing patients in need to a Thailand clinic for fertility treatments. The founders of NewGenIvf started to operate their own clinic in Thailand in 2014 and subsequently added clinics in Cambodia and Kyrgyzstan. Since then, NewGenIvf has attracted clients from countries throughout Asia-Pacific, including Mainland China, Hong Kong, India, Thailand, Australia and Taiwan.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NewGenIvf benefits from the favourable geographic locations of its clinics, especially its clinic in Thailand. Located in central Bangkok and situated in one of the biggest shopping malls of the city, the clinic is located in close proximity to various transportation facilities and popular tourist attractions, such as the Erawan Shrine. In this regard, NewGenIvf believes that its business has benefited from, and will continue to benefit from, the convenience of its locations.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NewGenIvf has developed a relatively replicable and scalable operating model that supports high productivity at its assisted reproductive medical facilities in Asia. Under this model, NewGenIvf’s medical facilities have established standardized operating procedures to select the treatment process according to each patient’s profile. NewGenIvf’s medical and operational personnel are organized into specialized teams according to the different stages of the treatment process and different patient profiles. When patients are initially admitted or would like to seek additional medical services later on, they are assigned to one of the optimal medical teams, which NewGenIvf believes is better suited after taking into account the patient’s diagnosis and preferences. NewGenIvf believes that this model allows each team to improve its efficiency and arrange suitable physicians for patients.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physicians of NewGenIvf have also developed and employed an operating model that seeks to increase the effectiveness of physicians by utilizing standardized workflows and operating procedures with teams of supporting nurses and medical assistants. This helps to increase the number of IVF treatment cycles that physicians can perform while providing treatment customized based on patient conditions.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 its established client service history, accumulated experience as well as its continuous upgrades and development of treatment models, NewGenIvf believes that it will be able to better monetize its brands through its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9"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436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7875" cy="7436485"/>
                    </a:xfrm>
                    <a:prstGeom prst="rect">
                      <a:avLst/>
                    </a:prstGeom>
                    <a:noFill/>
                  </pic:spPr>
                </pic:pic>
              </a:graphicData>
            </a:graphic>
          </wp:anchor>
        </w:drawing>
        <w:t>Experienced Management Team</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NewGenIvf management team has considerable experience in the ARS market and the broader healthcare industry. A considerable number of NewGenIvf’s management are physicians or laboratory technicians who possess extensive experience in the ARS industry and are experts in their respective fields. NewGenIvf’s Chief Executive Officer, Mr. Alfred Siu, has more than 13 years of experience in the fertility service market. Dr. Wiphawee Luangtangvarodom had over 8 years of experience as an obstetrician and gynecologist. NewGenIvf’s two lab supervisors, Ms. Anussara Phinyong, and Ms. Araya Boonchaisitthipong, each had over eight years of experience in the embryologist field. These individuals have extensive experience in managing assisted reproductive medical facilities. NewGenIvf is also led by other members of the professional management team, who are intimately involved in the operational and financial management of NewGenIvf’s Group. Leveraging their experience, NewGenIvf believes that it is well positioned to expand its network and aims to become a leader in the Asia Pacific ARS market.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NewGenIvf’s vision is to provide tailored ARS solutions to fulfil patients’ dreams of becoming a parent. To realize this vision, NewGenIvf plans to adopt the following strategies: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Broad Fertility Services for Fertility Tourists across Asia Pacific</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NewGenIvf intends to provide broad fertility services for fertility tourists seeking high quality, cost effective and comprehensive fertility solutions. According to CIC, the demand for fertility tourism is driven by a variety of factors including the prevalence of infertility, the introduction of the Three-Child policy in China, the improved understanding of assisted reproductive technology and increased affordability of ARS. To address these needs, NewGenIvf plans to offer its customers a “hassle-free”, seamless and integrated ARS and hospitality arrangement experience. To complement its fertility services, NewGenIvf intends to integrate its offerings with additional services for traveling patients, most of whom are first-time fertility tourists, such as translation service, hotel arrangement and airport pickup services. NewGenIvf plans to enhance its customers’ experience by entering into exclusive cooperation arrangements with local premium hospitality providers.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 to Invest in Laboratories and Facilities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NewGenIvf believes laboratories and treatment facilities are critical to supporting its future research, development and clients experience. NewGenIvf currently operates two laboratories that offer IVF services, one in Thailand and one in Cambodia, and plans to continue to scale up its existing laboratories. NewGenIvf plans to continue to invest in upgrading its laboratories and facilities to complement its growth and expansion, which it believes will help NewGenIvf maintain an edge over its competitors with regard to technology, operational efficiency, scalability, and client experience.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NewGenIvf intends to develop advanced facilities for its existing laboratories, which will be conducting research on ARS related basic science and experiments relating to emerging technologies to improve ARS success rates and lower costs. NewGenIvf also plans to correlate its data on patient treatment protocols to the embryo physiologic data and the pregnancy success rate-related data to identify better treatment protocols to increase ARS success rates. NewGenIvf intends to continue to actively promote technological cooperation with tertiary institutions to discover ways to improve its IVF success rates. Furthermore, NewGenIvf seeks to actively deploy the technology that it possesses to expand the services it provides.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NewGenIvf has accumulated experience in treating patients over 40 years old with premature ovarian failure and patients who have had recurrent ARS implementation failure, by, for the example, injecting platelet rich plasma into the ovaries to stimulate and support growth of the follicles. NewGenIvf is also implementing certain technological advancements relevant to the ARS industry, including microfluidics, automated sperm analysers, time lapsed incubators, non-invasive preimplantation genetic testing (“PGT”) of cell-free DNA in spent media, automated systems for oocyte/embryo vitrification to reduce reagent consumption and decrease labor intensity, mitochondria replacement therapy to reconstruct oocytes by nuclear transfer of polar body genome from an MII oocyte into an enucleated donor MII cytoplasm, to increase the number of oocytes available for the treatment of infertile women, preimplantation methylome screening. There are also breakthrough developments in science including organ culture systems, induced pluripotent stem cells, embryonic stem cells, spermatogonial stem cells for creation of functional gametes, but these techniques are not yet ready for human clinical trials.</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NewGenIvf also intends to develop clinically customised interior design concepts for its medical facilities, including improved service rooms, consultation rooms, reception areas, nutrition food areas, and traditional Chinese medicine (such as acupuncture) facilities.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9"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653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7875" cy="5653405"/>
                    </a:xfrm>
                    <a:prstGeom prst="rect">
                      <a:avLst/>
                    </a:prstGeom>
                    <a:noFill/>
                  </pic:spPr>
                </pic:pic>
              </a:graphicData>
            </a:graphic>
          </wp:anchor>
        </w:drawing>
        <w:t>Increase Brand Awareness and Market Share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NewGenIvf intends to maintain and strengthen its brand awareness and market share in Asia Pacific. In order to expand its reach and increase patient numbers, NewGenIvf plans to collaborate with local hospitals, companies, premium hospitality providers and other key players in the ARS industry in Asia Pacific. Additionally, NewGenIvf intends to increase brand awareness through social media promotions and marketing initiatives, and is establishing its business development team with the goal of attracting new patients and partners across Asia Pacific. Meanwhile, NewGenIvf intends to provide innovative treatment services to attract more clients. For example, NewGenIvf plans to introduce IVF mental health services, which allows clients who fail in IVF treatments to access online consultation for further treatment plans such as egg donation and surrogacy. These new treatments services aim to enable NewGenIvf to attract potential clients. By adopting a comprehensive strategy to expand its market share, NewGenIvf aims to strengthen its reputation as a long-standing ARS provider and capture additional market share of the growing ARS market in Asia-Pacific.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 Service Reach Through Acquisitions and Partnerships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Leveraging its reputation and footprint in its current markets, NewGenIvf intends to expand its reach, services offering and client base through strategic acquisitions and/or partnerships in Asia Pacific. Acquisitions of or by companies offering similar services could not only allow NewGenIvf to diversify its client base but also allow it to benefit from potential economies of scale and increasing efficiency through consolidation. NewGenIvf could also leverage the acquired or acquiring company’s customer base, reputation and expertise to further improve its offerings and operations. NewGenIvf intends to focus on ARS providers in Asia Pacific which possess all conventional licenses and locally recognized brands. For the global market beyond Asia Pacific, NewGenIvf intends to expand its footprint through partnerships with other IVF clinics.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NewGenIvf plans to explore expanding its client base by offering its fertility services as part of corporate benefit programs in Asia. NewGenIvf believes that there is potential in Asia in offering fertility treatments as a benefit for employees, particularly in companies with a large number of female employees of childbearing age. By partnering with corporate clients to provide fertility benefits, NewGenIvf can increase its market reach, enhance its brand reputation, and drive client growth. NewGenIvf’s broad range of fertility services, including IVF and egg freezing, can help corporate partners differentiate their employee benefits in the competitive employment landscape, which could make them more attractive to potential employees. Additionally, by offering these services, companies can help address the growing concern of delayed childbearing, which is becoming more common among women according to CIC. NewGenIvf plans to collaborate with potential corporate clients to develop customized fertility benefit programs that cater to their specific needs, and to provide comprehensive support and counselling throughout the process.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Meanwhile, NewGenIvf also intends to attract more clients by establishing its “home country gynecologist partnership program”. Under the program, NewGenIvf may, subject to its discretion and screening process, offer treatment services to clients with reduced time requirements to be spent overseas. Depending on local laws, the potential clients may be able to complete their treatments with gynecologists NewGenIvf partners with, in their home countries.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28, 2025, NewGenIvf completed its acquisition of the MicroSort Business from Genetics &amp; IVF Institute, Inc. (“GIVF”). Pursuant to a Purchase Agreement dated January 21, 2025 between NewGenIvf and GIVF (“Purchase Agreement”), NewGenIvf purchased all of the Assets (as defined in the Purchase Agreement) and IP Licenses (as defined in the Purchase Agreement) relating to the MicroSort Business (as defined in the Purchase Agreement) from GIVF for a cash consideration of $750,000 and a share consideration of 125,000 Class A Ordinary Shares (equivalent to 0.15 Class A Ordinary Shares adjusted for the Reverse Stock Splits) (“MicroSort Acquisition”).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9" w:right="459" w:bottom="1440" w:gutter="0" w:footer="0" w:header="0"/>
        </w:sectPr>
      </w:pPr>
    </w:p>
    <w:bookmarkStart w:id="14" w:name="page15"/>
    <w:bookmarkEnd w:id="1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4763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On July 24, 2025, NewGenIvf signed a Purchase Agreement to acquire certain tangible assets, company domain and six patents from Nodexus Inc. The technology associated with the patents is related to cell sorting to be performed via a device called NX One and could be applied in different fields including In Vitro Fertilization. The Patents would allow NewGenIvf to penetrate the IVF market in the United States by leasing the NX One to clinics that provide IVF treatments in the United States. The clinics would utilize the NX One to perform gender selection services and detect potential genetic diseases during the IVF process and charge a service fee from customers.</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May 15, 2026, NewGenIvf signed a strategic investment agreement (“PredicXion Agreement”) with PredicXion Group Limited (“PredicXion”) and Kong Yiu Cheung, PredicXion’s sole shareholder (the “Seller”) for the acquisition of up to a 10% equity interest in PredicXion (the “PredicXion Acquisition”) at a pre-money valuation of US$100,000,000. On May 28, 2026, the Company entered into a share purchase agreement with PredicXion, and the Seller (“First PredicXion SPA”) for the acquisition of a 2% equity interest in PredicXion (“PredicXion Initial Acquisition”). The consideration payable for the PredicXion Initial Acquisition was a combination of: (i) cash consideration of US$1,000,000 or an equivalent amount in stablecoin, or Solana; and (ii) 666,667 newly issued class A ordinary shares of the Company (equivalent to 2,315 Class A Ordinary Shares adjusted for Reverse Stock Split) at a share price of US$1.50 per share (equivalent to US$432 per Class A Ordinary Shares adjusted for Reverse Stock Split). Pursuant to the First PredicXion SPA, the Company shall have an option exercisable at any time within three months after signing the First PredicXion SPA, to acquire an additional 8% of PredicXion’s fully diluted equity at the same pre-money valuation of US$100,000,000 (“Top-up Option”). On June 2, 2026, NewGenIvf exercised its Top-up Option to acquire an additional 4% equity interest in PredicXion (“Top-Up Acquisition”). Pursuant to the share purchase agreement (“First PredicXion Top-Up SPA”) among NewGenIvf, PredicXion, and the Seller for the Top-Up Acquisition, the Company shall acquire a 4% equity interest for an aggregate consideration of US$4,000,000, consisting of (i) US$2,000,000 payable in cash or in digital assets, and (ii) 1,500,000 Class A ordinary shares of the Company (equivalent to 5,208 Class A Ordinary Shares adjusted for Reverse Stock Split). The Company paid a cash deposit of US$300,000 upon signing of the Top-Up SPA, and shall pay the balance of $1,700,000 by August 30, 2026. On June 18, 2026, NewGenIvf exercised its Top-up Option to acquire an additional 4% equity interest in PredicXion (“Second Top-Up Acquisition”). Pursuant to the share purchase agreement (“Second PredicXion Top-Up SPA”) among NewGenIvf, PredicXion, and the Seller for the Second Top-Up Acquisition, the Company shall acquire a 4% equity interest for an aggregate consideration of US$4,000,000, consisting of (i) US$2,000,000 payable in cash or in digital assets, and (ii) 1,500,000 Class A ordinary shares of the Company (equivalent to 5,208 Class A Ordinary Shares adjusted for Reverse Stock Split). The parties agreed that the aggregate cash deposit to be paid pursuant to the First PredicXion Top-Up SPA and the Second PredicXion Top-Up SPA shall be US$800,000, payable upon the signing of the Second PredicXion Top-Up SPA, and the balance of $1,000,000 of First PredicXion Top-Up SPA and the balance of $1,900,000 of the Second PredicXion Top-Up SPA shall be paid by the Company to the Seller by August 31, 2026 and September 30, 2026 respectively. On July 27, 2026, NewGenIvf entered into a definitive agreement to acquire an additional 3% equity interest in PredicXion at a US$250 million equity valuation. The aggregate consideration of US$7,500,000 consists of (i) US$3,750,000 payable in cash or in digital assets, and (ii) 2,500,000 Class A ordinary shares (equivalent to 26,042 Class A Ordinary Shares adjusted for Reverse Stock Split) of the Company at a share price of US$1.50 per share (US$144 per share after adjusted for the Reverse Stock Split on October 12, 2026). On August 27, 2026, a further payment of US$200,000 in digital assets were made to the Seller and the Seller agreed to extend the August 30, 2026 payment deadline to October 31, 2026, subject to the payment of an annual interest of 10% on the outstanding amount until it is paid. As of the date of this prospectus, the acquisition of 2% of the equity interest in PredicXion has been completed, and the total committed but not yet paid consideration for the acquisition of 11% of the equity interest in PredicXion is US$6,162,500.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White Lion Transaction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21, 2024, the Company entered into a Common Shares Purchase Agreement (the “White Lion Purchase Agreement”) with White Lion Capital, LLC (“White Lion”) and a related Registration Rights Agreement (the “RRA”). Pursuant to the White Lion Purchase Agreement, the Company has the right, but not the obligation, to require White Lion to purchase, from time to time, up to One Hundred Million Dollars ($100,000,000) in aggregate gross purchase price of newly issued Class A Ordinary Shares, with an automatic increase to Three Hundred Million Dollars ($300,000,000) upon any substantial M&amp;A or Material Transaction (as defined in the White Lion Purchase Agreement) and a further option to increase to Five Hundred Million Dollars ($500,000,000) after Two Hundred and Fifty Million Dollars ($250,000,000) has been issued and sold to White Lion under the White Lion Purchase Agreement, subject to certain limitations and conditions set forth in the White Lion Purchase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15" w:name="page16"/>
    <w:bookmarkEnd w:id="1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927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7875" cy="5927725"/>
                    </a:xfrm>
                    <a:prstGeom prst="rect">
                      <a:avLst/>
                    </a:prstGeom>
                    <a:noFill/>
                  </pic:spPr>
                </pic:pic>
              </a:graphicData>
            </a:graphic>
          </wp:anchor>
        </w:drawing>
        <w:t>Subject to the satisfaction of certain customary conditions including, without limitation, the effectiveness of the registration statement registering the resale of the shares issuable pursuant to the White Lion Purchase Agreement, the Company’s right to sell shares to White Lion commenced on the date of the execution of White Lion Purchase Agreement and extends until (i) 36 months from the date of execution of the White Lion Purchase Agreement, or (ii) at the Company’s option, until 65 months from the date of the execution of the White Lion Purchase Agreement in the event that $100,000,000 of purchases under the White Lion Purchase Agreement have been completed prior to the 36 month anniversary of the Execution Date (the “Commitment Period”).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Commitment Period, subject to the terms and conditions of the White Lion Purchase Agreement, the Company may exercise its right to sell its Class A Ordinary Shares to White Lion. The Company may deliver a Regular Purchase Notice (as such term is defined in the White Lion Purchase Agreement), pursuant to which the Company can require White Lion to purchase up to a number of Ordinary Shares equal to the lesser of (i) $3,000,000 divided by the highest closing price of the Ordinary Shares over the most recent five (5) Business Days immediately preceding the Purchase Notice, or (ii) 40% of Average Daily Trading Volume (as such term is defined in the White Lion Purchase Agreement), subject to a maximum Investment Limit of $3,000,000.</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also deliver a Rapid Purchase Notice (as such term is defined in the White Lion Purchase Agreement), pursuant to which the Company may require White Lion to purchase up to a number of Ordinary Shares equal to $3,000,000 divided by the highest closing price of the Ordinary Shares over the most recent five business days immediately prior to the receipt of the notice. White Lion may waive such limits under any notice at its discretion and purchase additional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price to be paid by White Lion for any shares that the Company requires White Lion to purchase will depend on the type of purchase notice that the Company delivers. For shares being issued pursuant to a Regular Purchase Notice, the purchase price per share will be the lower of (i) the closing price of Ordinary Shares prior to the receipt of the applicable Purchase Notice, or (ii) the product of (a) the lowest daily VWAP of the Ordinary Shares during the Regular Purchase Valuation Period (as defined in the White Lion Purchase Agreement), and (b) 98%.</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 shares being issued pursuant to a Rapid Purchase Notice, the Company may opt for the purchase price per share to be (i) equal to the lowest traded price of the Ordinary Shares on the date that the notice is delivered, or (ii) 97% of the lowest traded price of the Ordinary Shares one hour following White Lion’s written confirmation of the acceptance of the Rapid Purchase Notice.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purchase notice shall result in White Lion beneficially owning (as calculated pursuant to Section 13(d) of the Securities Exchange Act of 1934, as amended, and Rule 13d-3 thereunder) more than 4.99% (subject to increase, in the sole discretion of White Lion, to 9.99%) of the number of Class A Ordinary Shares outstanding immediately prior to the issuance of Class A Ordinary Shares issuable pursuant to a purchase notice.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the right to terminate the White Lion Purchase Agreement in the event of a material breach of the White Lion Purchase Agreement by White Lion. The White Lion Purchase Agreement also automatically terminates upon the earlier of (i) the end of the Commitment Period and (ii) the date that the Company commences a voluntary bankruptcy proceeding, a custodian is appointed for the Company or for all or substantially all of its property, or the Company makes a general assignment for the benefit of its creditors.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consideration for the commitments of White Lion, as described above, the Company agreed to issue to White Lion 700,000 Class A Ordinary Shares (“Commitment Shares” and equivalent to 0.04 Class A Ordinary Shares adjusted for the Reverse Stock Splits). Additional Class A Ordinary Shares may be issued to White Lion under certain conditions, including in connection with material transactions or upon achieving specified investment thresholds. The Commitment Shares will be fully earned by White Lion regardless of termination of the White Lion Purchase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16" w:name="page17"/>
    <w:bookmarkEnd w:id="16"/>
    <w:p>
      <w:pPr>
        <w:jc w:val="both"/>
        <w:ind w:left="20" w:right="20"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2274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7875" cy="6227445"/>
                    </a:xfrm>
                    <a:prstGeom prst="rect">
                      <a:avLst/>
                    </a:prstGeom>
                    <a:noFill/>
                  </pic:spPr>
                </pic:pic>
              </a:graphicData>
            </a:graphic>
          </wp:anchor>
        </w:drawing>
        <w:t>The White Lion Purchase Agreement and the RRA contain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176"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18"/>
          <w:szCs w:val="18"/>
          <w:color w:val="auto"/>
        </w:rPr>
        <w:t>On October 31, 2025, the Company entered into a binding term sheet (“Term Sheet”) with White Lion setting out the principal terms and conditions for a Digital Assets Purchase Agreement. Pursuant to the Term Sheet, NewGen will have the option, but not the obligation, to sell to White Lion shares of common stock of the Company up to a total amount equivalent to the value of 600,000 Solana tokens over an initial period of 24 months. Upon a sale of shares, the Company will be compensated by White Lion in Solana tokens rather than cash. There can be no assurance that any sales of the Company’s common stock to White Lion will occur under the Term Sheet or any definitive agreement that may be entered into. The Company is not obligated to sell any shares, and White Lion is not obligated to purchase shares until and unless a definitive Digital Assets Purchase Agreement is executed and all conditions thereunder are satisfied. In addition, any compensation to the Company would be in the form of Solana tokens rather than cash, and the value, availability, and transferability of such digital assets are subject to significant market volatility and regulatory uncertainty. Accordingly, there is no guarantee that the Company will receive any proceeds or Solana tokens pursuant to the contemplated arrangement.</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Business Model</w:t>
      </w:r>
    </w:p>
    <w:p>
      <w:pPr>
        <w:spacing w:after="0" w:line="229" w:lineRule="exact"/>
        <w:rPr>
          <w:sz w:val="20"/>
          <w:szCs w:val="20"/>
          <w:color w:val="auto"/>
        </w:rPr>
      </w:pPr>
    </w:p>
    <w:p>
      <w:pPr>
        <w:jc w:val="both"/>
        <w:ind w:left="20" w:firstLine="648"/>
        <w:spacing w:after="0" w:line="266" w:lineRule="auto"/>
        <w:rPr>
          <w:sz w:val="20"/>
          <w:szCs w:val="20"/>
          <w:color w:val="auto"/>
        </w:rPr>
      </w:pPr>
      <w:r>
        <w:rPr>
          <w:rFonts w:ascii="Times New Roman" w:cs="Times New Roman" w:eastAsia="Times New Roman" w:hAnsi="Times New Roman"/>
          <w:sz w:val="18"/>
          <w:szCs w:val="18"/>
          <w:color w:val="auto"/>
        </w:rPr>
        <w:t>With a focus on providing fertility treatments to fulfil couples and individuals’ dreams of raising children, NewGenIvf offers mainly two services, namely: (i) IVF treatment service, comprising traditional IVF and egg donation; and (ii) surrogacy and ancillary caring services. The following table sets forth NewGenIvf’s revenue by service offerings and as a percentage of total revenue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7"/>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0" w:type="dxa"/>
            <w:vAlign w:val="bottom"/>
          </w:tcPr>
          <w:p>
            <w:pPr>
              <w:spacing w:after="0"/>
              <w:rPr>
                <w:sz w:val="20"/>
                <w:szCs w:val="20"/>
                <w:color w:val="auto"/>
              </w:rPr>
            </w:pPr>
          </w:p>
        </w:tc>
        <w:tc>
          <w:tcPr>
            <w:tcW w:w="198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IVF Treatment Service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1,574,320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81.8%</w:t>
            </w:r>
          </w:p>
        </w:tc>
        <w:tc>
          <w:tcPr>
            <w:tcW w:w="1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4"/>
              </w:rPr>
              <w:t>2,019,628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Fertility referral services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350,561</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vMerge w:val="continue"/>
            <w:shd w:val="clear" w:color="auto" w:fill="CCEEFF"/>
          </w:tcPr>
          <w:p>
            <w:pPr>
              <w:spacing w:after="0"/>
              <w:rPr>
                <w:sz w:val="21"/>
                <w:szCs w:val="21"/>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1,924,881</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2,019,628</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IVF Treatment Service</w:t>
      </w:r>
    </w:p>
    <w:p>
      <w:pPr>
        <w:spacing w:after="0" w:line="229" w:lineRule="exact"/>
        <w:rPr>
          <w:sz w:val="20"/>
          <w:szCs w:val="20"/>
          <w:color w:val="auto"/>
        </w:rPr>
      </w:pPr>
    </w:p>
    <w:p>
      <w:pPr>
        <w:jc w:val="both"/>
        <w:ind w:left="20" w:right="20" w:firstLine="648"/>
        <w:spacing w:after="0" w:line="282" w:lineRule="auto"/>
        <w:rPr>
          <w:sz w:val="20"/>
          <w:szCs w:val="20"/>
          <w:color w:val="auto"/>
        </w:rPr>
      </w:pPr>
      <w:r>
        <w:rPr>
          <w:rFonts w:ascii="Times New Roman" w:cs="Times New Roman" w:eastAsia="Times New Roman" w:hAnsi="Times New Roman"/>
          <w:sz w:val="18"/>
          <w:szCs w:val="18"/>
          <w:color w:val="auto"/>
        </w:rPr>
        <w:t>NewGenIvf primarily provides its clients with conventional IVF/ICSI and embryo transfer services. NewGenIvf is also able to, through MicroSort technology, help fulfill the family-balancing dreams of its clients and avoiding certain gender-related hereditary diseases.</w:t>
      </w:r>
    </w:p>
    <w:p>
      <w:pPr>
        <w:spacing w:after="0" w:line="162" w:lineRule="exact"/>
        <w:rPr>
          <w:sz w:val="20"/>
          <w:szCs w:val="20"/>
          <w:color w:val="auto"/>
        </w:rPr>
      </w:pPr>
    </w:p>
    <w:p>
      <w:pPr>
        <w:jc w:val="both"/>
        <w:ind w:left="20" w:firstLine="648"/>
        <w:spacing w:after="0" w:line="255" w:lineRule="auto"/>
        <w:rPr>
          <w:sz w:val="20"/>
          <w:szCs w:val="20"/>
          <w:color w:val="auto"/>
        </w:rPr>
      </w:pPr>
      <w:r>
        <w:rPr>
          <w:rFonts w:ascii="Times New Roman" w:cs="Times New Roman" w:eastAsia="Times New Roman" w:hAnsi="Times New Roman"/>
          <w:sz w:val="18"/>
          <w:szCs w:val="18"/>
          <w:color w:val="auto"/>
        </w:rPr>
        <w:t>IVF treatments that NewGenIvf provides address tubal factor, ovulatory dysfunction, diminished ovarian reserve, endometriosis, uterine factor, male factor, unexplained infertility and other causes. IVF bypasses the function of the fallopian tube by achieving fertilization within a laboratory environment. Ovarian hyper-stimulation is common with IVF treatments to recruit numerous follicles to increase the chances for success. Follicles are retrieved trans-vaginally using a vaginal probe and ultrasound guidance. Anaesthesia is frequently used due to the number of follicles retrieved and the resulting discomfort experienced by the patient. The eggs are identified in the follicular fluid and combined with sperm and culture medium in culture dishes, which are placed in an incubator with a temperature and gas environment designed to mimic the condition of the fallopian tubes. Once the embryos develop, typically over a 3-to-5-day period, they are transferred to the uterine cavity.</w:t>
      </w:r>
    </w:p>
    <w:p>
      <w:pPr>
        <w:spacing w:after="0" w:line="189" w:lineRule="exact"/>
        <w:rPr>
          <w:sz w:val="20"/>
          <w:szCs w:val="20"/>
          <w:color w:val="auto"/>
        </w:rPr>
      </w:pPr>
    </w:p>
    <w:p>
      <w:pPr>
        <w:jc w:val="both"/>
        <w:ind w:left="20" w:right="2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and 2026, the revenue from NewGenIvf’s IVF treatments was US$2,019,628 and US$1,574,320, respectively, representing 100% and 81.8% of its total revenue in the corresponding periods.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1"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821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7875" cy="7821930"/>
                    </a:xfrm>
                    <a:prstGeom prst="rect">
                      <a:avLst/>
                    </a:prstGeom>
                    <a:noFill/>
                  </pic:spPr>
                </pic:pic>
              </a:graphicData>
            </a:graphic>
          </wp:anchor>
        </w:drawing>
        <w:t>IVF Treatments Process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typical IVF treatment process mainly includes two stages, the pre-IVF treatment stage and the IVF treatment stage. During the IVF treatment process, NewGenIvf also provides support services such as nutrition guidance and psychological counselling. The flow chart below shows the stages involved in a typical IVF treatment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pre-IVF treatment stage, clients attend an initial consultation, undergo pre-IVF tests, and undergo treatment for gynaecological and andrological diseases, if needed. At the initial consultation, a physician reviews the clients’ detailed medical history to collect more information relating to the potential cause of their infertility. The client then undergoes various pre-IVF tests, which may include, among other things, blood pressure, hormone level, ultrasound, infectious disease screening, uterine evaluation and male fertility test. The physician will then design treatment plans based on the client’s medical history and results of the tests. If the client is satisfied with treatment plan and the test results are acceptable to the physician, the physician will prescribe medications and start stimulation treatment.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first step of the cycle is to boost egg production through injecting synthetic hormones. Over about one week of ovarian stimulation, clients are monitored on a regular basis with blood test and transvaginal ultrasound. If follicles have reached at least 10 mm in size, an additional antagonist drug will be added into the daily injection schedule. This is used to prevent ovulation before ovum pickup time. After another few days of ovarian simulation, if follicle growth is consistent and majority of follicles are around 16 mm to 17 mm, the final injection of a human chorionic gonadotropin will be administered. The trigger injection is the final step of the stimulation process and is for the maturation of the eggs in the follicles before they are collected. The next major step is to retrieve the eggs with a minor surgical procedure called Trans Vaginal Follicle Aspiration conducted under anaesthesia. At the same time the male partner collects the sperms for fertilizing the eggs in the laboratory by a process known as intracytoplasmic sperm injection. The fertilized embryos are cultured in the laboratory for two to six days. Embryos that grow well are biopsied and tested by PGT to detect potential genetic diseases.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final step is to transfer the embryos into the uterus using a catheter. Within eight days after the embryo transfer, a blood test can be conducted to detect whether the implantation was successful.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MicroSort Technology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MicroSort technology is a preconception process developed by the Genetics &amp; IVF Institute, Inc (“GIVF”). that aims to improve the chances that the baby to be conceived will be of the desired gender and prevents certain gender-related hereditary diseases.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Semen samples usually contain equal amounts of sperm carrying the Y chromosome (which will produce a boy), and sperm carrying the X chromosome (which will produce a girl). During the MicroSort process, the sperm sample is washed to remove seminal liquid and nonmotile cells. After the washing, the sample is stained with a special fluorescent material that attaches to the DNA contained in the sperm. The stained sperm cells are analyzed one by one by a flow cytometer, in which cells pass through a laser to make the stain attach to the DNA fluoresce. The sperm containing the X chromosome (which have more DNA and therefore more stain) will shine brighter than the sperm containing the Y chromosome. The flow cytometer uses a special software to identify X and Y chromosome sperm based on their fluorescence signature. The sperm carrying the chromosome that will produce the desired gender are separated from the rest of the sample -resulting in an enriched sperm sample ready for use.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18" w:name="page19"/>
    <w:bookmarkEnd w:id="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9039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7875" cy="9039225"/>
                    </a:xfrm>
                    <a:prstGeom prst="rect">
                      <a:avLst/>
                    </a:prstGeom>
                    <a:noFill/>
                  </pic:spPr>
                </pic:pic>
              </a:graphicData>
            </a:graphic>
          </wp:anchor>
        </w:drawing>
        <w:t>NewGenIvf held an exclusive license granted by a division of GIVF, MicroSort International, to use the MicroSort technology in Thailand and Cambodia. MicroSort’s licenses for NewGenIvf’s operation in Thailand and Cambodia were each provided under a lease and service agreement. In April 2019, First Fertility PGS entered into a Lease and Services Agreement with MicroSort International to use MicroSort equipment in Thailand and in March 2019, Phnom Penh Center entered into a Lease and Services Agreement with MicroSort International to use MicroSort equipment in Cambodia (together, the “Lease and Services Agreements”). Pursuant to the Lease and Services Agreements, First Fertility PGS and Phnom Penh Center each had the exclusive right to utilize the MicroSort equipment and to market and sell MicroSort sperm sorting services in Thailand and Cambodia, respectively. MicroSort International was responsible for the maintenance of MicroSort equipment and technical and engineering support. The term of each Lease and Service Agreements was initially from 2019 to 2024, which shall be automatically renewed for one year unless a written notice of at least 180 days prior to the intended termination date is provided. The consideration under each of the Lease and Services Agreements was US$9,000 per month after six months. On February 28, 2025, NewGenIvf completed its acquisition of the MicroSort technology from Genetics &amp; IVF Institute, Inc. (“GIVF”).</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21, 2025, the Company entered into a Purchase Agreement with Genetics &amp; IVF Institute, Inc. (“Purchase Agreement”), pursuant to which the Company purchased all of the Assets (as defined in the Purchase Agreement) and IP Licenses (as defined in the Purchase Agreement) relating to the MicroSort Business (as defined in the Purchase Agreement) from Genetics &amp; IVF Institute, Inc. for a cash consideration of $750,000 and a share consideration of 125,000 Class A Ordinary Shares (“Share Consideration” and equivalent to 0.15 Class A Ordinary Shares adjusted by the Reverse Stock Splits). The Purchase Agreement is filed as Exhibit 10.30 in this registration statement. MicroSort Lab Services, LLC (“MicroSort”) was incorporated by Genetics &amp; IVF Institute, Inc. in January 2025 to hold all of the Assets (as defined in the Purchase Agreement) to be transferred to the Company at closing. The Company’s acquisition of MicroSort was completed on February 28, 2025, and the Share Consideration was issued to GIVF in May 2025.</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flow chart below shows the process involved in MicroSort: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Nodexus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920" w:gutter="0" w:footer="0" w:header="0"/>
        </w:sectPr>
      </w:pPr>
    </w:p>
    <w:bookmarkStart w:id="19" w:name="page20"/>
    <w:bookmarkEnd w:id="1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63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7875" cy="7633335"/>
                    </a:xfrm>
                    <a:prstGeom prst="rect">
                      <a:avLst/>
                    </a:prstGeom>
                    <a:noFill/>
                  </pic:spPr>
                </pic:pic>
              </a:graphicData>
            </a:graphic>
          </wp:anchor>
        </w:drawing>
        <w:t>During 2025, NewGenIvf acquired patents and machines from Nodexus Inc,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Preimplantation Genetic Screening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Next-Generation Sequencing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NGS is a high-throughput technology for determining the sequence of deoxyribonucleic acid DNA or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Preimplantation Genetic Diagnosis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Similar to PGS, PGD is also used in parallel with an IVF treatment cycle. But PGD is a more enhanced process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achieve a healthy pregnancy. Individuals who suspect or know they carry genes for serious medical conditions may opt to screen for healthy embryos ahead of time.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244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7875" cy="6244590"/>
                    </a:xfrm>
                    <a:prstGeom prst="rect">
                      <a:avLst/>
                    </a:prstGeom>
                    <a:noFill/>
                  </pic:spPr>
                </pic:pic>
              </a:graphicData>
            </a:graphic>
          </wp:anchor>
        </w:drawing>
        <w:t>Egg Freezing Service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NewGenIvf also provides egg freezing services which is a fertility preservation service that allows individuals to freeze and store their eggs for future use. The process begins with hormonal stimulation to encourage multiple egg production, followed by a minor surgical procedure to retrieve the eggs under sedation. The eggs are then rapidly frozen using vitrification, a technique that prevents ice crystal formation, and stored in liquid nitrogen at ultra-low temperatures. This service is ideal for those delaying childbearing due to career, medical reasons (like cancer treatment), or personal choice. When ready to conceive, the eggs can be thawed, fertilized with sperm, and transferred as embryos. While success rates vary by age and clinic, egg freezing offers a proactive option for preserving fertility.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Fertility Referral Services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NewGenIvf also generated revenue from fertility referral services in Kyrgyzstan. For the year ended June 30, 2025 and the year ended June 30, 2026, we generated approximately Nil % and 18.2 %,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Network of Facilities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June 30, 2026, NewGenIvf had one accounting and general administrative support office located in Hong Kong and four clinics located in Thailand, in Cambodia, and in Kyrgyzstan, respectively. In the United States, we have not had office yet but acquired MicroSort Lab Services LLC from Genetic IVF Institute during 2025. The integration of the medical facilities in Thailand help NewGenIvf provide a more seamless one-stop experience to its clients. Set out below is an illustration of the locations of NewGenIvf’s clinics and accounting/general administrative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21" w:name="page22"/>
    <w:bookmarkEnd w:id="21"/>
    <w:p>
      <w:pPr>
        <w:ind w:left="140" w:right="140" w:firstLine="648"/>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376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7875" cy="7376160"/>
                    </a:xfrm>
                    <a:prstGeom prst="rect">
                      <a:avLst/>
                    </a:prstGeom>
                    <a:noFill/>
                  </pic:spPr>
                </pic:pic>
              </a:graphicData>
            </a:graphic>
          </wp:anchor>
        </w:drawing>
        <w:t>The following table sets forth the approximate aggregate average gross floor area (“</w:t>
      </w:r>
      <w:r>
        <w:rPr>
          <w:rFonts w:ascii="Times New Roman" w:cs="Times New Roman" w:eastAsia="Times New Roman" w:hAnsi="Times New Roman"/>
          <w:sz w:val="18"/>
          <w:szCs w:val="18"/>
          <w:b w:val="1"/>
          <w:bCs w:val="1"/>
          <w:color w:val="auto"/>
        </w:rPr>
        <w:t>G.F.A.</w:t>
      </w:r>
      <w:r>
        <w:rPr>
          <w:rFonts w:ascii="Times New Roman" w:cs="Times New Roman" w:eastAsia="Times New Roman" w:hAnsi="Times New Roman"/>
          <w:sz w:val="18"/>
          <w:szCs w:val="18"/>
          <w:color w:val="auto"/>
        </w:rPr>
        <w:t>”) of each of NewGenIvf’s clinics that were under lease and actively used for client service as of June 30, 2026:</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16"/>
        </w:trPr>
        <w:tc>
          <w:tcPr>
            <w:tcW w:w="9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9680" w:type="dxa"/>
            <w:vAlign w:val="bottom"/>
          </w:tcPr>
          <w:p>
            <w:pPr>
              <w:spacing w:after="0"/>
              <w:rPr>
                <w:sz w:val="21"/>
                <w:szCs w:val="21"/>
                <w:color w:val="auto"/>
              </w:rPr>
            </w:pP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1"/>
                <w:szCs w:val="21"/>
                <w:color w:val="auto"/>
              </w:rPr>
            </w:pPr>
          </w:p>
        </w:tc>
      </w:tr>
      <w:tr>
        <w:trPr>
          <w:trHeight w:val="223"/>
        </w:trPr>
        <w:tc>
          <w:tcPr>
            <w:tcW w:w="9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(Square Feet)</w:t>
            </w:r>
          </w:p>
        </w:tc>
        <w:tc>
          <w:tcPr>
            <w:tcW w:w="100" w:type="dxa"/>
            <w:vAlign w:val="bottom"/>
            <w:tcBorders>
              <w:bottom w:val="single" w:sz="8" w:color="CCEEFF"/>
            </w:tcBorders>
          </w:tcPr>
          <w:p>
            <w:pPr>
              <w:spacing w:after="0"/>
              <w:rPr>
                <w:sz w:val="19"/>
                <w:szCs w:val="19"/>
                <w:color w:val="auto"/>
              </w:rPr>
            </w:pPr>
          </w:p>
        </w:tc>
      </w:tr>
      <w:tr>
        <w:trPr>
          <w:trHeight w:val="21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Thailand</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968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First Fertility PGS Center Co., Ltd. – PS Tower</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Fertility PGS Center</w:t>
            </w: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14,750</w:t>
            </w:r>
          </w:p>
        </w:tc>
      </w:tr>
      <w:tr>
        <w:trPr>
          <w:trHeight w:val="216"/>
        </w:trPr>
        <w:tc>
          <w:tcPr>
            <w:tcW w:w="9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Cambodia</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968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First Fertility Phnom Penh Center</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Phnom Penh Center</w:t>
            </w: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18,567</w:t>
            </w:r>
          </w:p>
        </w:tc>
      </w:tr>
      <w:tr>
        <w:trPr>
          <w:trHeight w:val="216"/>
        </w:trPr>
        <w:tc>
          <w:tcPr>
            <w:tcW w:w="9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Kyrgyzstan</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9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Bi Clinic Limited Liability Company</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9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(“Bi Clinic”)</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2,164</w:t>
            </w:r>
          </w:p>
        </w:tc>
      </w:tr>
      <w:tr>
        <w:trPr>
          <w:trHeight w:val="216"/>
        </w:trPr>
        <w:tc>
          <w:tcPr>
            <w:tcW w:w="9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G.F.A</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35,481</w:t>
            </w:r>
          </w:p>
        </w:tc>
      </w:tr>
    </w:tbl>
    <w:p>
      <w:pPr>
        <w:spacing w:after="0" w:line="198" w:lineRule="exact"/>
        <w:rPr>
          <w:sz w:val="20"/>
          <w:szCs w:val="20"/>
          <w:color w:val="auto"/>
        </w:rPr>
      </w:pPr>
    </w:p>
    <w:p>
      <w:pPr>
        <w:jc w:val="both"/>
        <w:ind w:left="140" w:right="140" w:firstLine="648"/>
        <w:spacing w:after="0" w:line="282" w:lineRule="auto"/>
        <w:rPr>
          <w:sz w:val="20"/>
          <w:szCs w:val="20"/>
          <w:color w:val="auto"/>
        </w:rPr>
      </w:pPr>
      <w:r>
        <w:rPr>
          <w:rFonts w:ascii="Times New Roman" w:cs="Times New Roman" w:eastAsia="Times New Roman" w:hAnsi="Times New Roman"/>
          <w:sz w:val="18"/>
          <w:szCs w:val="18"/>
          <w:color w:val="auto"/>
        </w:rPr>
        <w:t>Currently, IVF treatments are performed in its Thailand and Cambodia clinics, egg donation services are provided in its Cambodia clinic, and surrogacy services are provided in its Kyrgyzstan clinic. The following table summarises the services available at NewGenIvf’s clinics:</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IVF</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Surrogacy</w:t>
            </w:r>
          </w:p>
        </w:tc>
      </w:tr>
      <w:tr>
        <w:trPr>
          <w:trHeight w:val="245"/>
        </w:trPr>
        <w:tc>
          <w:tcPr>
            <w:tcW w:w="8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Treatments</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Services</w:t>
            </w:r>
          </w:p>
        </w:tc>
      </w:tr>
      <w:tr>
        <w:trPr>
          <w:trHeight w:val="216"/>
        </w:trPr>
        <w:tc>
          <w:tcPr>
            <w:tcW w:w="8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Thailand</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Fertility PGS Center</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w:t>
            </w: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Cambodia</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Phnom Penh Center</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w:t>
            </w: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Kyrgyzstan</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 Clinic</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140" w:right="10200" w:hanging="8"/>
        <w:spacing w:after="0" w:line="500" w:lineRule="auto"/>
        <w:tabs>
          <w:tab w:leader="none" w:pos="4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Yes × — No</w:t>
      </w:r>
    </w:p>
    <w:p>
      <w:pPr>
        <w:spacing w:after="0" w:line="1"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a breakdown of revenue from services performed at NewGenIvf’s medical centers for the years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8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58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US$</w:t>
            </w:r>
          </w:p>
        </w:tc>
        <w:tc>
          <w:tcPr>
            <w:tcW w:w="8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HK SAR</w:t>
            </w:r>
          </w:p>
        </w:tc>
        <w:tc>
          <w:tcPr>
            <w:tcW w:w="2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35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573,025</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905,033</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Cambodia</w:t>
            </w:r>
          </w:p>
        </w:tc>
        <w:tc>
          <w:tcPr>
            <w:tcW w:w="358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354,933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243,153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Kyrgyzstan</w:t>
            </w:r>
          </w:p>
        </w:tc>
        <w:tc>
          <w:tcPr>
            <w:tcW w:w="35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1,053,907</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728,054</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third party clinics</w:t>
            </w:r>
          </w:p>
        </w:tc>
        <w:tc>
          <w:tcPr>
            <w:tcW w:w="2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37,763</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48,642</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vMerge w:val="continue"/>
          </w:tcPr>
          <w:p>
            <w:pPr>
              <w:spacing w:after="0"/>
              <w:rPr>
                <w:sz w:val="20"/>
                <w:szCs w:val="20"/>
                <w:color w:val="auto"/>
              </w:rPr>
            </w:pPr>
          </w:p>
        </w:tc>
        <w:tc>
          <w:tcPr>
            <w:tcW w:w="2260" w:type="dxa"/>
            <w:vAlign w:val="bottom"/>
          </w:tcPr>
          <w:p>
            <w:pPr>
              <w:spacing w:after="0"/>
              <w:rPr>
                <w:sz w:val="20"/>
                <w:szCs w:val="20"/>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2,019,628</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1,924,881</w:t>
            </w:r>
          </w:p>
        </w:tc>
        <w:tc>
          <w:tcPr>
            <w:tcW w:w="2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22" w:name="page23"/>
    <w:bookmarkEnd w:id="22"/>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8747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7875" cy="8747760"/>
                    </a:xfrm>
                    <a:prstGeom prst="rect">
                      <a:avLst/>
                    </a:prstGeom>
                    <a:noFill/>
                  </pic:spPr>
                </pic:pic>
              </a:graphicData>
            </a:graphic>
          </wp:anchor>
        </w:drawing>
        <w:t>Thailand Clinic</w:t>
      </w:r>
    </w:p>
    <w:p>
      <w:pPr>
        <w:spacing w:after="0" w:line="162" w:lineRule="exact"/>
        <w:rPr>
          <w:sz w:val="20"/>
          <w:szCs w:val="20"/>
          <w:color w:val="auto"/>
        </w:rPr>
      </w:pPr>
    </w:p>
    <w:p>
      <w:pPr>
        <w:jc w:val="both"/>
        <w:ind w:left="140" w:right="120" w:firstLine="648"/>
        <w:spacing w:after="0" w:line="255" w:lineRule="auto"/>
        <w:rPr>
          <w:sz w:val="20"/>
          <w:szCs w:val="20"/>
          <w:color w:val="auto"/>
        </w:rPr>
      </w:pPr>
      <w:r>
        <w:rPr>
          <w:rFonts w:ascii="Times New Roman" w:cs="Times New Roman" w:eastAsia="Times New Roman" w:hAnsi="Times New Roman"/>
          <w:sz w:val="18"/>
          <w:szCs w:val="18"/>
          <w:color w:val="auto"/>
        </w:rPr>
        <w:t>At the clinic in Thailand, NewGenIvf offers its clients customized fertility treatment solutions including IVF/ICSI, embryo culture, hormonal blood tests, infectious diseases tests, chromosome screening by PGT, hysteroscopy, sperm analysis, sorting, washing and freezing, and egg freezing. Its medical and operational personnel are organized into specialized teams according to the different stages of the IVF treatment process and different patient profiles. When clients are admitted, they are assigned to a team which NewGenIvf believes is better suited the clients after taking into account the clients’ diagnosis and preferences. Furthermore, NewGenIvf also provides related value-added services such as nutrition guidance, psychological counselling, acupuncture, and translation interpreters to supplement the IVF treatment. NewGenIvf prides itself on providing quality and customized treatment to its clients on a day-to-day basis.</w:t>
      </w:r>
    </w:p>
    <w:p>
      <w:pPr>
        <w:spacing w:after="0" w:line="121" w:lineRule="exact"/>
        <w:rPr>
          <w:sz w:val="20"/>
          <w:szCs w:val="20"/>
          <w:color w:val="auto"/>
        </w:rPr>
      </w:pPr>
    </w:p>
    <w:p>
      <w:pPr>
        <w:jc w:val="both"/>
        <w:ind w:left="140" w:right="1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2026, the clinic in Thailand had 7 nurses, 7 full time lab physicians and embryologists, 17 administrative staff, totaling 31 staff members.</w:t>
      </w:r>
    </w:p>
    <w:p>
      <w:pPr>
        <w:spacing w:after="0" w:line="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Cambodia Clinic</w:t>
      </w:r>
    </w:p>
    <w:p>
      <w:pPr>
        <w:spacing w:after="0" w:line="162" w:lineRule="exact"/>
        <w:rPr>
          <w:sz w:val="20"/>
          <w:szCs w:val="20"/>
          <w:color w:val="auto"/>
        </w:rPr>
      </w:pPr>
    </w:p>
    <w:p>
      <w:pPr>
        <w:jc w:val="both"/>
        <w:ind w:left="140" w:right="120" w:firstLine="648"/>
        <w:spacing w:after="0" w:line="261" w:lineRule="auto"/>
        <w:rPr>
          <w:sz w:val="20"/>
          <w:szCs w:val="20"/>
          <w:color w:val="auto"/>
        </w:rPr>
      </w:pPr>
      <w:r>
        <w:rPr>
          <w:rFonts w:ascii="Times New Roman" w:cs="Times New Roman" w:eastAsia="Times New Roman" w:hAnsi="Times New Roman"/>
          <w:sz w:val="18"/>
          <w:szCs w:val="18"/>
          <w:color w:val="auto"/>
        </w:rPr>
        <w:t>NewGenIvf has one clinic, Phnom Penh Center, in Cambodia. Phnom Penh Center is staffed with 3 Cambodian physician, 2 embryologists, 8 nurses and 12 other staff, and offers similar IVF treatments as in Thailand and egg donation services. Phnom Penh Center operates under a license issued by Cambodia MOH for the Cambodian physician, who has entered into an agreement with Phnom Penh Center for the exclusive use of such license.</w:t>
      </w:r>
    </w:p>
    <w:p>
      <w:pPr>
        <w:spacing w:after="0" w:line="112" w:lineRule="exact"/>
        <w:rPr>
          <w:sz w:val="20"/>
          <w:szCs w:val="20"/>
          <w:color w:val="auto"/>
        </w:rPr>
      </w:pPr>
    </w:p>
    <w:p>
      <w:pPr>
        <w:jc w:val="both"/>
        <w:ind w:left="140" w:right="120" w:firstLine="648"/>
        <w:spacing w:after="0" w:line="261" w:lineRule="auto"/>
        <w:rPr>
          <w:sz w:val="20"/>
          <w:szCs w:val="20"/>
          <w:color w:val="auto"/>
        </w:rPr>
      </w:pPr>
      <w:r>
        <w:rPr>
          <w:rFonts w:ascii="Times New Roman" w:cs="Times New Roman" w:eastAsia="Times New Roman" w:hAnsi="Times New Roman"/>
          <w:sz w:val="18"/>
          <w:szCs w:val="18"/>
          <w:color w:val="auto"/>
        </w:rPr>
        <w:t>After more than ten years of development since its opening in 2015, Phnom Penh Center has become one of the long-standing ARS providers in Cambodia. Phnom Penh Center’s IVF philosophy concentrates on three key points in the treatment process: the mother’s wellbeing, the technology used to assist mothers deliver a strong and healthy baby and the medical science used to ensure every chance of success for women in various age spectrums.</w:t>
      </w:r>
    </w:p>
    <w:p>
      <w:pPr>
        <w:spacing w:after="0" w:line="1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Clinic in Kyrgyzstan</w:t>
      </w:r>
    </w:p>
    <w:p>
      <w:pPr>
        <w:spacing w:after="0" w:line="162" w:lineRule="exact"/>
        <w:rPr>
          <w:sz w:val="20"/>
          <w:szCs w:val="20"/>
          <w:color w:val="auto"/>
        </w:rPr>
      </w:pPr>
    </w:p>
    <w:p>
      <w:pPr>
        <w:jc w:val="both"/>
        <w:ind w:left="140" w:right="120" w:firstLine="648"/>
        <w:spacing w:after="0" w:line="282" w:lineRule="auto"/>
        <w:rPr>
          <w:sz w:val="20"/>
          <w:szCs w:val="20"/>
          <w:color w:val="auto"/>
        </w:rPr>
      </w:pPr>
      <w:r>
        <w:rPr>
          <w:rFonts w:ascii="Times New Roman" w:cs="Times New Roman" w:eastAsia="Times New Roman" w:hAnsi="Times New Roman"/>
          <w:sz w:val="18"/>
          <w:szCs w:val="18"/>
          <w:color w:val="auto"/>
        </w:rPr>
        <w:t>Through Bi Clinic, NewGenIvf also provide fertility referral services by referring customers who are interested in surrogacy services which are legal in Kyrgyzstan.</w:t>
      </w:r>
    </w:p>
    <w:p>
      <w:pPr>
        <w:spacing w:after="0" w:line="94" w:lineRule="exact"/>
        <w:rPr>
          <w:sz w:val="20"/>
          <w:szCs w:val="20"/>
          <w:color w:val="auto"/>
        </w:rPr>
      </w:pPr>
    </w:p>
    <w:p>
      <w:pPr>
        <w:jc w:val="both"/>
        <w:ind w:left="140" w:right="140" w:firstLine="648"/>
        <w:spacing w:after="0" w:line="282" w:lineRule="auto"/>
        <w:rPr>
          <w:sz w:val="20"/>
          <w:szCs w:val="20"/>
          <w:color w:val="auto"/>
        </w:rPr>
      </w:pPr>
      <w:r>
        <w:rPr>
          <w:rFonts w:ascii="Times New Roman" w:cs="Times New Roman" w:eastAsia="Times New Roman" w:hAnsi="Times New Roman"/>
          <w:sz w:val="18"/>
          <w:szCs w:val="18"/>
          <w:color w:val="auto"/>
        </w:rPr>
        <w:t>Although Physician at Bi Clinic has expertise in sourcing surrogate mothers, techniques of embryo transfers, prenatal care, baby delivery, and postnatal care, NewGenIvf refers customers to independent agents for fertility service like surrogacy so as to reduce the operation risks in Kyrgyzstan.</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As of June 30, 2026, Bi Clinic had 1 nurse and 3 other staff.</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Professionals</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Licensed Physicians</w:t>
      </w:r>
    </w:p>
    <w:p>
      <w:pPr>
        <w:spacing w:after="0" w:line="162" w:lineRule="exact"/>
        <w:rPr>
          <w:sz w:val="20"/>
          <w:szCs w:val="20"/>
          <w:color w:val="auto"/>
        </w:rPr>
      </w:pPr>
    </w:p>
    <w:p>
      <w:pPr>
        <w:jc w:val="both"/>
        <w:ind w:left="140" w:right="140" w:firstLine="648"/>
        <w:spacing w:after="0" w:line="266" w:lineRule="auto"/>
        <w:rPr>
          <w:sz w:val="20"/>
          <w:szCs w:val="20"/>
          <w:color w:val="auto"/>
        </w:rPr>
      </w:pPr>
      <w:r>
        <w:rPr>
          <w:rFonts w:ascii="Times New Roman" w:cs="Times New Roman" w:eastAsia="Times New Roman" w:hAnsi="Times New Roman"/>
          <w:sz w:val="18"/>
          <w:szCs w:val="18"/>
          <w:color w:val="auto"/>
        </w:rPr>
        <w:t>As of June 30, 2026, NewGenIvf employed five licensed physicians, among which one was based in Cambodia, one was based in Kyrgyzstan and the other three were based in Thailand. Most of NewGenIvf’s physicians had over 10 years of experience or above. The following table summarizes the number and types of such licensed physicians as of June 30, 2026.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Licenses and</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Issuing</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20" w:type="dxa"/>
            <w:vAlign w:val="bottom"/>
          </w:tcPr>
          <w:p>
            <w:pPr>
              <w:spacing w:after="0"/>
              <w:rPr>
                <w:sz w:val="21"/>
                <w:szCs w:val="21"/>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Licensed physician</w:t>
            </w:r>
          </w:p>
        </w:tc>
        <w:tc>
          <w:tcPr>
            <w:tcW w:w="100" w:type="dxa"/>
            <w:vAlign w:val="bottom"/>
          </w:tcPr>
          <w:p>
            <w:pPr>
              <w:spacing w:after="0"/>
              <w:rPr>
                <w:sz w:val="21"/>
                <w:szCs w:val="21"/>
                <w:color w:val="auto"/>
              </w:rPr>
            </w:pPr>
          </w:p>
        </w:tc>
        <w:tc>
          <w:tcPr>
            <w:tcW w:w="25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Approvals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Effective Period</w:t>
            </w:r>
          </w:p>
        </w:tc>
        <w:tc>
          <w:tcPr>
            <w:tcW w:w="276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Authority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Cambodia</w:t>
            </w:r>
          </w:p>
        </w:tc>
        <w:tc>
          <w:tcPr>
            <w:tcW w:w="1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Mr. Keut Serey</w:t>
            </w:r>
          </w:p>
        </w:tc>
        <w:tc>
          <w:tcPr>
            <w:tcW w:w="10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Decision on permission for</w:t>
            </w:r>
          </w:p>
        </w:tc>
        <w:tc>
          <w:tcPr>
            <w:tcW w:w="1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December 14, 2022 –</w:t>
            </w:r>
          </w:p>
        </w:tc>
        <w:tc>
          <w:tcPr>
            <w:tcW w:w="12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Ministry of Health of</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treatment operation</w:t>
            </w:r>
          </w:p>
        </w:tc>
        <w:tc>
          <w:tcPr>
            <w:tcW w:w="2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14, 2026</w:t>
            </w: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Cambodia</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Thailand</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Dr Keatthisak</w:t>
            </w:r>
          </w:p>
        </w:tc>
        <w:tc>
          <w:tcPr>
            <w:tcW w:w="10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31801 Medical</w:t>
            </w:r>
          </w:p>
        </w:tc>
        <w:tc>
          <w:tcPr>
            <w:tcW w:w="23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April 1, 2005 – Indefinite</w:t>
            </w:r>
          </w:p>
        </w:tc>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Royal Thai College of Obstetricians</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Boonsimma</w:t>
            </w:r>
          </w:p>
        </w:tc>
        <w:tc>
          <w:tcPr>
            <w:tcW w:w="10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Practitioner License</w:t>
            </w:r>
          </w:p>
        </w:tc>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Gynaecologists of Thailand</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22624/2554</w:t>
            </w:r>
          </w:p>
        </w:tc>
        <w:tc>
          <w:tcPr>
            <w:tcW w:w="2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1, 2014 – Indefinite</w:t>
            </w: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Council of Thailand</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OB-Gyn License</w:t>
            </w:r>
          </w:p>
        </w:tc>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40962/2563</w:t>
            </w:r>
          </w:p>
        </w:tc>
        <w:tc>
          <w:tcPr>
            <w:tcW w:w="2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1, 2020 – Indefinite</w:t>
            </w: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Council of Thailand</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Reproductive Medicine Diploma</w:t>
            </w:r>
          </w:p>
        </w:tc>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Thailand</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Dr. Anurach</w:t>
            </w:r>
          </w:p>
        </w:tc>
        <w:tc>
          <w:tcPr>
            <w:tcW w:w="10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Practice License No. 11755</w:t>
            </w:r>
          </w:p>
        </w:tc>
        <w:tc>
          <w:tcPr>
            <w:tcW w:w="230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February 1 2025 – Indefinite</w:t>
            </w:r>
          </w:p>
        </w:tc>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Medical Council of Thailand</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Kulvanitchaiyanunt</w:t>
            </w: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Thailand</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Dr Wiphawee</w:t>
            </w:r>
          </w:p>
        </w:tc>
        <w:tc>
          <w:tcPr>
            <w:tcW w:w="10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38347/2562</w:t>
            </w:r>
          </w:p>
        </w:tc>
        <w:tc>
          <w:tcPr>
            <w:tcW w:w="230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August 1, 2019 – Indefinite</w:t>
            </w:r>
          </w:p>
        </w:tc>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Medical Council of Thailand</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Luangtangvarodom</w:t>
            </w:r>
          </w:p>
        </w:tc>
        <w:tc>
          <w:tcPr>
            <w:tcW w:w="10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OB-Gyn License</w:t>
            </w:r>
          </w:p>
        </w:tc>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43217/2564</w:t>
            </w:r>
          </w:p>
        </w:tc>
        <w:tc>
          <w:tcPr>
            <w:tcW w:w="2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1, 2021 – Indefinite</w:t>
            </w: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Council of Thailand</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Reproductive Medicine License</w:t>
            </w:r>
          </w:p>
        </w:tc>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48510 Medical</w:t>
            </w:r>
          </w:p>
        </w:tc>
        <w:tc>
          <w:tcPr>
            <w:tcW w:w="2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1, 2014 – Indefinite</w:t>
            </w: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Council of Thailand</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Practitioner License</w:t>
            </w:r>
          </w:p>
        </w:tc>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81222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7875" cy="8122285"/>
                    </a:xfrm>
                    <a:prstGeom prst="rect">
                      <a:avLst/>
                    </a:prstGeom>
                    <a:noFill/>
                  </pic:spPr>
                </pic:pic>
              </a:graphicData>
            </a:graphic>
          </wp:anchor>
        </w:drawing>
        <w:t>Customers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2025 and 2026, the majority of NewGenIvf’s clients were from China (including mainland China and Hong Kong). NewGenIvf enters into a verbal contract with each of its customers that outline, among other things, the scope of services, service fees, payment terms and rights, responsibilities and obligations of each party. Consent is obtained from the patients prior to the provision of the various treatments. Customers are not entitled to enjoy the relevant services until outstanding amounts have been settled pursuant to the relevant contract. Sales to individual consumers did not vary significantly and none of the customers contribute more than 10% of NewGenIvf’s revenue for the six months ended June 30, 2025 and 2026.</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significant customers using NewGenIvf’s IVF treatment services and ancillary caring services, NewGenIvf also has customers who utilize the access to the freezing and storage facility and other relatively insignificant services, such as check-ups services, blood test services and other minor services (the latter category of customers are referred to as “consultation customers”). NewGenIvf also refers customers to other IVF and/or Surrogacy agents who will provide fertility referral income for NewGenIvf.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and 2026, NewGenIvf promoted brand awareness through its sales teams and, in many cases, through cooperating with third-party agencies and partners.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NewGenIvf’s sales teams have broad experience in fertility services and are responsible for identifying potential clients and managing the overall sales process. NewGenIvf’s sales team primarily relies on social media marketing, word-of-mouth referrals, recognition of its brand, printed advertisements and marketing events. NewGenIvf spends marketing expenses on placing advertisements through popular social media platforms, maintaining the official website of NewGenIvf and sending information through its official accounts on social media platforms.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and Procurement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NewGenIvf’s procurement is mainly for medications, laboratory media and reagents, laboratory consumables, and blood test reagents. As of June 30, 2025 and 2026, there was no single supplier individually contributed more than 10% of the Group’s trade payable respectively. For both the six months ended June 30, 2025 and 2026, no vendor contributed more than 10% of total direct cost of the Group. NewGenIvf’s procurement team is experienced in selecting cost-effective supplies as well as selecting reliable suppliers. NewGenIvf’s major suppliers are pharmaceutical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NewGenIvf believes that it is a long-standing provider of ARS in Asia Pacific that competes primarily based on the following competitive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w:t>
      </w:r>
    </w:p>
    <w:p>
      <w:pPr>
        <w:spacing w:after="0" w:line="207" w:lineRule="exact"/>
        <w:rPr>
          <w:sz w:val="20"/>
          <w:szCs w:val="20"/>
          <w:color w:val="auto"/>
        </w:rPr>
      </w:pPr>
    </w:p>
    <w:p>
      <w:pPr>
        <w:ind w:left="960" w:hanging="320"/>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and comprehensiveness of the solutions;</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that is effective and achieves desired outcomes;</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clients’ experience, including dedicated patient education, clinical guidance and emotional support; and</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 network of high-quality fertility specialists.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NewGenIvf competes primarily with other regional fertility service providers. While NewGenIvf does not believe any single competitor offers a comparably robust and integrated fertility solution package as NewGenIvf in the regions that it operates, NewGenIvf’s competitors may compete in a variety of ways, including by providing better services, having established local connections, fulfilling evolving client needs, as well as conducting brand promotions and other marketing activities.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NewGenIvf may introduce new ancillary services and other companies may introduce similar fertility services as NewGenIvf’s, NewGenIvf may become subject to additional competition.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2026, in addition to its clinics, NewGenIvf leased one property in Hong Kong with an aggregate square footage of approximately 8,000 for its administration support offices. NewGenIvf also operates its medical facilities as described above in “Network of Facilities” above. NewGenIvf believes that its existing facilities are suitable and adequate to meet its current needs.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24" w:name="page25"/>
    <w:bookmarkEnd w:id="24"/>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762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7875" cy="7762240"/>
                    </a:xfrm>
                    <a:prstGeom prst="rect">
                      <a:avLst/>
                    </a:prstGeom>
                    <a:noFill/>
                  </pic:spPr>
                </pic:pic>
              </a:graphicData>
            </a:graphic>
          </wp:anchor>
        </w:drawing>
        <w:t>Organizational Structure</w:t>
      </w:r>
    </w:p>
    <w:p>
      <w:pPr>
        <w:spacing w:after="0" w:line="22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is a list of our principal subsidiaries and consolidated affiliated entities as of the date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Place of Formation</w:t>
            </w: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Relationship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Borders>
              <w:top w:val="single" w:sz="8" w:color="auto"/>
            </w:tcBorders>
          </w:tcPr>
          <w:p>
            <w:pPr>
              <w:spacing w:after="0"/>
              <w:rPr>
                <w:sz w:val="18"/>
                <w:szCs w:val="18"/>
                <w:color w:val="auto"/>
              </w:rPr>
            </w:pPr>
          </w:p>
        </w:tc>
        <w:tc>
          <w:tcPr>
            <w:tcW w:w="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NewGenIvf Limited</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Wholly-owned subsidiary</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Incorporated on January 16, 2019</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MicroSort Lab Services LLC</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U.S.A.</w:t>
            </w: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Wholly-owned subsidiary</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on February 28, 2025</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NewGenDigital Limited</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British Virgin Islands</w:t>
            </w: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Wholly-owned subsidiary</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Incorporated on June 16, 2025</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FFPGS (HK) Ltd</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Indirect subsidiary, wholly owned by NewGenIvf Limited</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Incorporated on December 19, 2019</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NewGenProperty Limited</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British Virgin Islands</w:t>
            </w: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Wholly-owned subsidiary</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Incorporated on September 18, 2025</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NewGenBiz Limited</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British Virgin Islands</w:t>
            </w: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Wholly-owned subsidiary</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Incorporated on January 13, 2026</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NewGenOman Limited</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British Virgin Islands</w:t>
            </w: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Wholly-owned subsidiary</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Incorporated on February 2, 2026</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Nodexus Limited</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Wholly-owned subsidiary</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Incorporated on July 16, 2026</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b w:val="1"/>
                <w:bCs w:val="1"/>
                <w:color w:val="auto"/>
                <w:w w:val="99"/>
              </w:rPr>
              <w:t xml:space="preserve">Artsy Angel Charitable Foundation Limited </w:t>
            </w:r>
            <w:r>
              <w:rPr>
                <w:rFonts w:ascii="PMingLiU" w:cs="PMingLiU" w:eastAsia="PMingLiU" w:hAnsi="PMingLiU"/>
                <w:sz w:val="18"/>
                <w:szCs w:val="18"/>
                <w:color w:val="auto"/>
                <w:highlight w:val="black"/>
                <w:w w:val="99"/>
              </w:rPr>
              <w:t>藝術天使</w:t>
            </w:r>
          </w:p>
        </w:tc>
        <w:tc>
          <w:tcPr>
            <w:tcW w:w="12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Wholly-owned subsidiary</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shd w:val="clear" w:color="auto" w:fill="CCEEFF"/>
          </w:tcPr>
          <w:p>
            <w:pPr>
              <w:ind w:left="180"/>
              <w:spacing w:after="0" w:line="219" w:lineRule="exact"/>
              <w:rPr>
                <w:sz w:val="20"/>
                <w:szCs w:val="20"/>
                <w:color w:val="auto"/>
              </w:rPr>
            </w:pPr>
            <w:r>
              <w:rPr>
                <w:rFonts w:ascii="PMingLiU" w:cs="PMingLiU" w:eastAsia="PMingLiU" w:hAnsi="PMingLiU"/>
                <w:sz w:val="18"/>
                <w:szCs w:val="18"/>
                <w:color w:val="auto"/>
              </w:rPr>
              <w:t>慈善基金有限公司</w:t>
            </w:r>
            <w:r>
              <w:rPr>
                <w:rFonts w:ascii="Times New Roman" w:cs="Times New Roman" w:eastAsia="Times New Roman" w:hAnsi="Times New Roman"/>
                <w:sz w:val="18"/>
                <w:szCs w:val="18"/>
                <w:b w:val="1"/>
                <w:bCs w:val="1"/>
                <w:color w:val="auto"/>
              </w:rPr>
              <w:t xml:space="preserve"> (formally known as Alfred Siu</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Charitable Foundation Limited)</w:t>
            </w:r>
          </w:p>
        </w:tc>
        <w:tc>
          <w:tcPr>
            <w:tcW w:w="1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Incorporated on February 27, 2026</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Bi Clinic LLC</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Kyrgyzstan</w:t>
            </w: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Indirect subsidiary, wholly owned by NewGenIvf Limited</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on December 17, 2024</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First Fertility PGS Center Limited</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Thailand</w:t>
            </w: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Indirect subsidiary, 74% owned by Well Image Limited HK</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Incorporated on March 6, 2014</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directly and indirectly</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First Fertility Phnom Penh Ltd</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Kingdom of Cambodia</w:t>
            </w: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Indirect subsidiary, wholly owned by NewGenIvf Limited</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Incorporated on August 10, 2015</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Med Holdings Limited</w:t>
            </w:r>
          </w:p>
        </w:tc>
        <w:tc>
          <w:tcPr>
            <w:tcW w:w="12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Thailand</w:t>
            </w:r>
          </w:p>
        </w:tc>
        <w:tc>
          <w:tcPr>
            <w:tcW w:w="46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Indirect subsidiary, 48.99% owned by Well Image Limited</w:t>
            </w: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Incorporated on January 21, 2015</w:t>
            </w:r>
          </w:p>
        </w:tc>
        <w:tc>
          <w:tcPr>
            <w:tcW w:w="1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HK</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Well Image Limited HK</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Indirect subsidiary, wholly owned by NewGenIvf Limited</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Incorporated on July 11, 2008</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HyFi Innovations Limited</w:t>
            </w:r>
          </w:p>
        </w:tc>
        <w:tc>
          <w:tcPr>
            <w:tcW w:w="12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Hong Kong</w:t>
            </w:r>
          </w:p>
        </w:tc>
        <w:tc>
          <w:tcPr>
            <w:tcW w:w="46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Indirect subsidiary, wholly owned by NewGenDigital</w:t>
            </w: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Incorporated on October 20, 2025</w:t>
            </w:r>
          </w:p>
        </w:tc>
        <w:tc>
          <w:tcPr>
            <w:tcW w:w="1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5970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7875" cy="5970270"/>
                    </a:xfrm>
                    <a:prstGeom prst="rect">
                      <a:avLst/>
                    </a:prstGeom>
                    <a:noFill/>
                  </pic:spPr>
                </pic:pic>
              </a:graphicData>
            </a:graphic>
          </wp:anchor>
        </w:drawing>
        <w:t>The following subsidiaries were disposed of:</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40" w:type="dxa"/>
            <w:vAlign w:val="bottom"/>
            <w:shd w:val="clear" w:color="auto" w:fill="CCEEFF"/>
          </w:tcPr>
          <w:p>
            <w:pPr>
              <w:ind w:left="20"/>
              <w:spacing w:after="0" w:line="216" w:lineRule="exact"/>
              <w:rPr>
                <w:sz w:val="20"/>
                <w:szCs w:val="20"/>
                <w:color w:val="auto"/>
              </w:rPr>
            </w:pPr>
            <w:r>
              <w:rPr>
                <w:rFonts w:ascii="PMingLiU" w:cs="PMingLiU" w:eastAsia="PMingLiU" w:hAnsi="PMingLiU"/>
                <w:sz w:val="18"/>
                <w:szCs w:val="18"/>
                <w:color w:val="auto"/>
              </w:rPr>
              <w:t>深圳前海豐泰仁匯健康科技有限公司</w:t>
            </w:r>
          </w:p>
        </w:tc>
        <w:tc>
          <w:tcPr>
            <w:tcW w:w="21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49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Indirect subsidiary, wholly owned by FFPGS (HK) Ltd</w:t>
            </w: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(Shenzhen Qianhai Fengtai</w:t>
            </w:r>
          </w:p>
        </w:tc>
        <w:tc>
          <w:tcPr>
            <w:tcW w:w="212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Renhui Health Technology Co., Ltd)</w:t>
            </w:r>
          </w:p>
        </w:tc>
        <w:tc>
          <w:tcPr>
            <w:tcW w:w="21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r>
      <w:tr>
        <w:trPr>
          <w:trHeight w:val="234"/>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Disposed of on July 29, 2025</w:t>
            </w:r>
          </w:p>
        </w:tc>
        <w:tc>
          <w:tcPr>
            <w:tcW w:w="2120" w:type="dxa"/>
            <w:vAlign w:val="bottom"/>
            <w:shd w:val="clear" w:color="auto" w:fill="CCEEFF"/>
          </w:tcPr>
          <w:p>
            <w:pPr>
              <w:spacing w:after="0"/>
              <w:rPr>
                <w:sz w:val="20"/>
                <w:szCs w:val="20"/>
                <w:color w:val="auto"/>
              </w:rPr>
            </w:pPr>
          </w:p>
        </w:tc>
        <w:tc>
          <w:tcPr>
            <w:tcW w:w="4920" w:type="dxa"/>
            <w:vAlign w:val="bottom"/>
            <w:shd w:val="clear" w:color="auto" w:fill="CCEEFF"/>
          </w:tcPr>
          <w:p>
            <w:pPr>
              <w:spacing w:after="0"/>
              <w:rPr>
                <w:sz w:val="20"/>
                <w:szCs w:val="20"/>
                <w:color w:val="auto"/>
              </w:rPr>
            </w:pPr>
          </w:p>
        </w:tc>
      </w:tr>
      <w:tr>
        <w:trPr>
          <w:trHeight w:val="432"/>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Plants and Equipment</w:t>
            </w:r>
          </w:p>
        </w:tc>
        <w:tc>
          <w:tcPr>
            <w:tcW w:w="2120" w:type="dxa"/>
            <w:vAlign w:val="bottom"/>
          </w:tcPr>
          <w:p>
            <w:pPr>
              <w:spacing w:after="0"/>
              <w:rPr>
                <w:sz w:val="24"/>
                <w:szCs w:val="24"/>
                <w:color w:val="auto"/>
              </w:rPr>
            </w:pPr>
          </w:p>
        </w:tc>
        <w:tc>
          <w:tcPr>
            <w:tcW w:w="4920" w:type="dxa"/>
            <w:vAlign w:val="bottom"/>
          </w:tcPr>
          <w:p>
            <w:pPr>
              <w:spacing w:after="0"/>
              <w:rPr>
                <w:sz w:val="24"/>
                <w:szCs w:val="24"/>
                <w:color w:val="auto"/>
              </w:rPr>
            </w:pPr>
          </w:p>
        </w:tc>
      </w:tr>
    </w:tbl>
    <w:p>
      <w:pPr>
        <w:spacing w:after="0" w:line="201" w:lineRule="exact"/>
        <w:rPr>
          <w:sz w:val="20"/>
          <w:szCs w:val="20"/>
          <w:color w:val="auto"/>
        </w:rPr>
      </w:pPr>
    </w:p>
    <w:p>
      <w:pPr>
        <w:jc w:val="both"/>
        <w:ind w:left="20" w:firstLine="648"/>
        <w:spacing w:after="0" w:line="225" w:lineRule="auto"/>
        <w:rPr>
          <w:sz w:val="20"/>
          <w:szCs w:val="20"/>
          <w:color w:val="auto"/>
        </w:rPr>
      </w:pPr>
      <w:r>
        <w:rPr>
          <w:rFonts w:ascii="Times New Roman" w:cs="Times New Roman" w:eastAsia="Times New Roman" w:hAnsi="Times New Roman"/>
          <w:sz w:val="18"/>
          <w:szCs w:val="18"/>
          <w:color w:val="auto"/>
        </w:rPr>
        <w:t>The Company leases the premises for its principal executive office located at 36/39-36/40,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PS Tower, Sukhumvit 21 Road (Asoke) Khlong Toei Nuea Sub-district, Watthana District, Bangkok 10110, Thailand. The Company leases one property in Hong Kong with an aggregate square footage of approximately 8,000 for its administration support offices.</w:t>
      </w:r>
    </w:p>
    <w:p>
      <w:pPr>
        <w:spacing w:after="0" w:line="200" w:lineRule="exact"/>
        <w:rPr>
          <w:sz w:val="20"/>
          <w:szCs w:val="20"/>
          <w:color w:val="auto"/>
        </w:rPr>
      </w:pPr>
    </w:p>
    <w:p>
      <w:pPr>
        <w:jc w:val="both"/>
        <w:ind w:left="20"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also leases several premises to operate its clinics in various countries. The Company operates the Bi Clinic Limited Liability Company starting from December 17, 2024 in Kyrgyzstan, which premises have an aggregate area of 2,164 square feet. In Cambodia, the Company operates the First Fertility Phnom Penh Center, which premises have an aggregate area of 18,567 square feet. In Thailand, the Company operates a clinic named First Fertility PGS Center Co., Ltd., which premises have an aggregate area of 14,750 square feet.</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Nasdaq Deficiency</w:t>
      </w:r>
    </w:p>
    <w:p>
      <w:pPr>
        <w:spacing w:after="0" w:line="229" w:lineRule="exact"/>
        <w:rPr>
          <w:sz w:val="20"/>
          <w:szCs w:val="20"/>
          <w:color w:val="auto"/>
        </w:rPr>
      </w:pPr>
    </w:p>
    <w:p>
      <w:pPr>
        <w:jc w:val="both"/>
        <w:ind w:left="20" w:firstLine="648"/>
        <w:spacing w:after="0" w:line="253" w:lineRule="auto"/>
        <w:rPr>
          <w:sz w:val="20"/>
          <w:szCs w:val="20"/>
          <w:color w:val="auto"/>
        </w:rPr>
      </w:pPr>
      <w:r>
        <w:rPr>
          <w:rFonts w:ascii="Times New Roman" w:cs="Times New Roman" w:eastAsia="Times New Roman" w:hAnsi="Times New Roman"/>
          <w:sz w:val="18"/>
          <w:szCs w:val="18"/>
          <w:color w:val="auto"/>
        </w:rPr>
        <w:t>On October 8, 2024, the Company received a deficiency letter (“Bid Price Deficiency Letter”) from the Listing Qualifications Department (the “Staff”) of Nasdaq notifying the Company that it is currently not in compliance with the closing bid price requirement under Nasdaq Listing Rule 5450(a)(1) (the “Minimum Bid Price Rule”). The Bid Price Deficiency Letter stated that, for the preceding 30 consecutive business days, the Company’s Class A Ordinary Shares did not meet the minimum closing bid price of $1 per share pursuant to the Minimum Bid Price Rule. The Company has an initial compliance period of 180 calendar days, or until April 7, 2025 to regain compliance with the Minimum Bid Price Rule. The Deficiency letter stated that if at any time the closing bid price of the Company’s Class A Ordinary Shares is at least $1 for a minimum of ten consecutive business days, Nasdaq will provide the Company written confirmation of compliance with this requirement, as applicable. On February 11, 2025, the Company effected a 1-for-20 reverse stock split of its issued and unissued shares. The effect of the reverse stock split was to consolidate every 20 issued and unissued shares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w:t>
      </w:r>
    </w:p>
    <w:p>
      <w:pPr>
        <w:spacing w:after="0" w:line="192"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18"/>
          <w:szCs w:val="18"/>
          <w:color w:val="auto"/>
        </w:rPr>
        <w:t>On May 24, 2024, the Company received a deficiency letter (“MVLS Deficiency Letter”) from the Staff of Nasdaq notifying the Company that, for the preceding 35 consecutive business days, the Class A Shares did not meet the minimum $50,000,000 Market Value of Listed Securities requirement (“MVLS Requirement”) for continued listing on Nasdaq pursuant to Nasdaq Listing Rules 5450(b)(2)(A) (the “MVLS Requirement,” and the Company’s non-compliance with this requirement, the “MVLS Deficiency”). In accordance with Nasdaq Rule 5810(c)(3)(C), the Company has been provided an initial period of 180 calendar days, or until November 20, 2024 (the “Compliance Date”), to regain compliance with the MVLS Requirement. If, at any time before the Compliance Date, the MVLS for the Class A Shares is at least $50,000,000 for a minimum of ten consecutive business days, the Staff will provide the Company written confirmation of compliance with the MVLS Requirement. In the event the Company does not regain compliance with the above requirement prior to the expiration of the compliance period, it will receive written notification that its securities are subject to delisting.</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1" w:right="459" w:bottom="1440" w:gutter="0" w:footer="0" w:header="0"/>
        </w:sectPr>
      </w:pPr>
    </w:p>
    <w:bookmarkStart w:id="26" w:name="page27"/>
    <w:bookmarkEnd w:id="26"/>
    <w:p>
      <w:pPr>
        <w:jc w:val="both"/>
        <w:ind w:left="20" w:firstLine="648"/>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8524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7875" cy="8524875"/>
                    </a:xfrm>
                    <a:prstGeom prst="rect">
                      <a:avLst/>
                    </a:prstGeom>
                    <a:noFill/>
                  </pic:spPr>
                </pic:pic>
              </a:graphicData>
            </a:graphic>
          </wp:anchor>
        </w:drawing>
        <w:t>On May 24, 2024, the Company received a deficiency letter (“MVPHS Deficiency Letter”) from the Staff of Nasdaq notifying the Company that, for the preceding 35 consecutive business days, the Company’s Class A Ordinary Shares did not meet the minimum $15,000,000 Market Value of Publicly Held Shares (“MVPHS”) requirement for continued listing on Nasdaq pursuant to Nasdaq Listing Rules 5450(b)(2)(C) (the “MVPHS Requirement,” and the Company’s non-compliance with this requirement, the “MVPHS Deficiency”). In accordance with Nasdaq Rule 5810(c)(3)(D), the Company has until the Compliance Date to regain compliance with the MVPHS Requirement. If, at any time before the Compliance Date, the MVPHS for the Class A Shares is at least $15,000,000 for a minimum of ten consecutive business days, the Staff will provide the Company written confirmation of compliance with the MVPHS Requirement. In the event the Company does not regain compliance with the above requirement prior to the expiration of the compliance period, it will receive written notification that its securities are subject to delisting. Alternatively, the Company may apply to transfer the Company’s securities to The Nasdaq Capital Market.</w:t>
      </w:r>
    </w:p>
    <w:p>
      <w:pPr>
        <w:spacing w:after="0" w:line="188" w:lineRule="exact"/>
        <w:rPr>
          <w:sz w:val="20"/>
          <w:szCs w:val="20"/>
          <w:color w:val="auto"/>
        </w:rPr>
      </w:pPr>
    </w:p>
    <w:p>
      <w:pPr>
        <w:jc w:val="both"/>
        <w:ind w:left="20" w:firstLine="648"/>
        <w:spacing w:after="0" w:line="253" w:lineRule="auto"/>
        <w:rPr>
          <w:sz w:val="20"/>
          <w:szCs w:val="20"/>
          <w:color w:val="auto"/>
        </w:rPr>
      </w:pPr>
      <w:r>
        <w:rPr>
          <w:rFonts w:ascii="Times New Roman" w:cs="Times New Roman" w:eastAsia="Times New Roman" w:hAnsi="Times New Roman"/>
          <w:sz w:val="18"/>
          <w:szCs w:val="18"/>
          <w:color w:val="auto"/>
        </w:rPr>
        <w:t>On November 21, 2024, the Company received a notice from the Staff of Nasdaq notifying the Company that its securities are subject to delisting due to the MVPHS Deficiency and MLVS Deficiency. The Company requested a hearing to appeal the delisting determination before the Nasdaq Hearings Panel (the “Panel”) on November 27, 2024. On November 29, 2024, the Company received a formal notice from Nasdaq that the Panel will consider its appeal at an oral hearing on January 28, 2025 (the “Hearing”). On February 19, 2025, the Company received written decision from the Panel, which granted an extension, allowing the Company additional time to regain compliance with the Nasdaq Stock Market’s (“Nasdaq” or the “Exchange”) continued listing requirements, subject to meeting specific compliance criteria within designated timeframes. On February 11, 2025, the Company carried out a 1-for-20 reverse stock split of its issued and unissued shares.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In addition, on February 27, 2025, the Company received a confirmation from Nasdaq that its application to transfer its listing to the Nasdaq Capital Market had been approved and that the Company’s securities would be transferred to the Nasdaq Capital Market at the opening of business on February 28, 2025.</w:t>
      </w:r>
    </w:p>
    <w:p>
      <w:pPr>
        <w:spacing w:after="0" w:line="190"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18"/>
          <w:szCs w:val="18"/>
          <w:color w:val="auto"/>
        </w:rPr>
        <w:t>In addition, the Company has effected a number of reverse stock splits of its issued and unissued shares. On May 5, 2025, the Company effected a 1-for-10 reverse stock split of its issued and unissued shares. On August 4, 2025, the Company carried out a 1-for-5 reverse stock split of its issued and unissued shares. On December 1, 2025, the Company carried out a 1-for-5 reverse stock split of its issued and unissued shares. On January 26, 2026, the Company effected a 1-for-3 reverse stock split of its issued and unissued shares. On March 16, 2026, the Company effected a 1-for-4 reverse stock split of its issued and unissued shares. On July 6, 2026, the Company effected a 1-for-3 reverse stock split of its issued and unissued shares. On September 1, 2026, the Company effected a 1-for-3 reverse stock split of its issued and unissued shares. On October 12, 2026, the Company effected a 1-for-4 reverse stock split of its issued and unissued shares. On October 23, 3036, the Company effected a 1-for-8 reverse stock split of its issued and unissued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Below is the Company’s capitalization as of June 30, 2026:</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9780" w:type="dxa"/>
            <w:vAlign w:val="bottom"/>
          </w:tcPr>
          <w:p>
            <w:pPr>
              <w:spacing w:after="0"/>
              <w:rPr>
                <w:sz w:val="24"/>
                <w:szCs w:val="2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US$</w:t>
            </w:r>
          </w:p>
        </w:tc>
      </w:tr>
      <w:tr>
        <w:trPr>
          <w:trHeight w:val="216"/>
        </w:trPr>
        <w:tc>
          <w:tcPr>
            <w:tcW w:w="97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1,023,789</w:t>
            </w:r>
          </w:p>
        </w:tc>
      </w:tr>
      <w:tr>
        <w:trPr>
          <w:trHeight w:val="216"/>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capital</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25,786,740</w:t>
            </w:r>
          </w:p>
        </w:tc>
      </w:tr>
      <w:tr>
        <w:trPr>
          <w:trHeight w:val="216"/>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857,860</w:t>
            </w:r>
          </w:p>
        </w:tc>
      </w:tr>
      <w:tr>
        <w:trPr>
          <w:trHeight w:val="237"/>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(215,658)</w:t>
            </w:r>
          </w:p>
        </w:tc>
      </w:tr>
      <w:tr>
        <w:trPr>
          <w:trHeight w:val="250"/>
        </w:trPr>
        <w:tc>
          <w:tcPr>
            <w:tcW w:w="9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26,428,942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9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0"/>
        </w:trPr>
        <w:tc>
          <w:tcPr>
            <w:tcW w:w="9780" w:type="dxa"/>
            <w:vAlign w:val="bottom"/>
          </w:tcPr>
          <w:p>
            <w:pPr>
              <w:spacing w:after="0"/>
              <w:rPr>
                <w:sz w:val="24"/>
                <w:szCs w:val="24"/>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16"/>
        </w:trPr>
        <w:tc>
          <w:tcPr>
            <w:tcW w:w="978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97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1"/>
                <w:szCs w:val="21"/>
                <w:color w:val="auto"/>
              </w:rPr>
            </w:pPr>
          </w:p>
        </w:tc>
      </w:tr>
      <w:tr>
        <w:trPr>
          <w:trHeight w:val="238"/>
        </w:trPr>
        <w:tc>
          <w:tcPr>
            <w:tcW w:w="97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r>
      <w:tr>
        <w:trPr>
          <w:trHeight w:val="194"/>
        </w:trPr>
        <w:tc>
          <w:tcPr>
            <w:tcW w:w="978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Book Value</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25,713,362</w:t>
            </w:r>
          </w:p>
        </w:tc>
      </w:tr>
      <w:tr>
        <w:trPr>
          <w:trHeight w:val="234"/>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 Outstanding*</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36,019</w:t>
            </w:r>
          </w:p>
        </w:tc>
      </w:tr>
    </w:tbl>
    <w:p>
      <w:pPr>
        <w:spacing w:after="0" w:line="179" w:lineRule="exact"/>
        <w:rPr>
          <w:sz w:val="20"/>
          <w:szCs w:val="20"/>
          <w:color w:val="auto"/>
        </w:rPr>
      </w:pPr>
    </w:p>
    <w:p>
      <w:pPr>
        <w:jc w:val="both"/>
        <w:ind w:left="340" w:right="20" w:hanging="328"/>
        <w:spacing w:after="0" w:line="258"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2026 of 1 share for every 3 shares issued, in March 2026 of 1 share for every 4 shares issued, in July 2026 of 1 share for every 3 shares issued, in September 2026 of 1 share for every 3 shares, on October 12, 2026 of 1 share for every 4 shares issued and on October 23, 2026 of 1 share for every 8 shares issued respectively.</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1" w:right="4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Statements of indebtedness as of June 30, 2026</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780" w:type="dxa"/>
            <w:vAlign w:val="bottom"/>
          </w:tcPr>
          <w:p>
            <w:pPr>
              <w:spacing w:after="0"/>
              <w:rPr>
                <w:sz w:val="24"/>
                <w:szCs w:val="2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0" w:type="dxa"/>
            <w:vAlign w:val="bottom"/>
          </w:tcPr>
          <w:p>
            <w:pPr>
              <w:spacing w:after="0"/>
              <w:rPr>
                <w:sz w:val="1"/>
                <w:szCs w:val="1"/>
                <w:color w:val="auto"/>
              </w:rPr>
            </w:pPr>
          </w:p>
        </w:tc>
      </w:tr>
      <w:tr>
        <w:trPr>
          <w:trHeight w:val="216"/>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 payable</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878,108</w:t>
            </w:r>
          </w:p>
        </w:tc>
        <w:tc>
          <w:tcPr>
            <w:tcW w:w="0" w:type="dxa"/>
            <w:vAlign w:val="bottom"/>
          </w:tcPr>
          <w:p>
            <w:pPr>
              <w:spacing w:after="0"/>
              <w:rPr>
                <w:sz w:val="1"/>
                <w:szCs w:val="1"/>
                <w:color w:val="auto"/>
              </w:rPr>
            </w:pPr>
          </w:p>
        </w:tc>
      </w:tr>
      <w:tr>
        <w:trPr>
          <w:trHeight w:val="216"/>
        </w:trPr>
        <w:tc>
          <w:tcPr>
            <w:tcW w:w="9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 and other payables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500,236</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105,835</w:t>
            </w:r>
          </w:p>
        </w:tc>
        <w:tc>
          <w:tcPr>
            <w:tcW w:w="0" w:type="dxa"/>
            <w:vAlign w:val="bottom"/>
          </w:tcPr>
          <w:p>
            <w:pPr>
              <w:spacing w:after="0"/>
              <w:rPr>
                <w:sz w:val="1"/>
                <w:szCs w:val="1"/>
                <w:color w:val="auto"/>
              </w:rPr>
            </w:pPr>
          </w:p>
        </w:tc>
      </w:tr>
      <w:tr>
        <w:trPr>
          <w:trHeight w:val="216"/>
        </w:trPr>
        <w:tc>
          <w:tcPr>
            <w:tcW w:w="9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64,481</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263,532</w:t>
            </w:r>
          </w:p>
        </w:tc>
        <w:tc>
          <w:tcPr>
            <w:tcW w:w="0" w:type="dxa"/>
            <w:vAlign w:val="bottom"/>
          </w:tcPr>
          <w:p>
            <w:pPr>
              <w:spacing w:after="0"/>
              <w:rPr>
                <w:sz w:val="1"/>
                <w:szCs w:val="1"/>
                <w:color w:val="auto"/>
              </w:rPr>
            </w:pPr>
          </w:p>
        </w:tc>
      </w:tr>
      <w:tr>
        <w:trPr>
          <w:trHeight w:val="216"/>
        </w:trPr>
        <w:tc>
          <w:tcPr>
            <w:tcW w:w="9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1,104,543</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forbearance liability</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6,881,250</w:t>
            </w:r>
          </w:p>
        </w:tc>
        <w:tc>
          <w:tcPr>
            <w:tcW w:w="0" w:type="dxa"/>
            <w:vAlign w:val="bottom"/>
          </w:tcPr>
          <w:p>
            <w:pPr>
              <w:spacing w:after="0"/>
              <w:rPr>
                <w:sz w:val="1"/>
                <w:szCs w:val="1"/>
                <w:color w:val="auto"/>
              </w:rPr>
            </w:pPr>
          </w:p>
        </w:tc>
      </w:tr>
      <w:tr>
        <w:trPr>
          <w:trHeight w:val="237"/>
        </w:trPr>
        <w:tc>
          <w:tcPr>
            <w:tcW w:w="9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710,536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10,508,521</w:t>
            </w:r>
          </w:p>
        </w:tc>
        <w:tc>
          <w:tcPr>
            <w:tcW w:w="0" w:type="dxa"/>
            <w:vAlign w:val="bottom"/>
          </w:tcPr>
          <w:p>
            <w:pPr>
              <w:spacing w:after="0"/>
              <w:rPr>
                <w:sz w:val="1"/>
                <w:szCs w:val="1"/>
                <w:color w:val="auto"/>
              </w:rPr>
            </w:pPr>
          </w:p>
        </w:tc>
      </w:tr>
      <w:tr>
        <w:trPr>
          <w:trHeight w:val="21"/>
        </w:trPr>
        <w:tc>
          <w:tcPr>
            <w:tcW w:w="9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operating leases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215,087</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215,087</w:t>
            </w:r>
          </w:p>
        </w:tc>
        <w:tc>
          <w:tcPr>
            <w:tcW w:w="0" w:type="dxa"/>
            <w:vAlign w:val="bottom"/>
          </w:tcPr>
          <w:p>
            <w:pPr>
              <w:spacing w:after="0"/>
              <w:rPr>
                <w:sz w:val="1"/>
                <w:szCs w:val="1"/>
                <w:color w:val="auto"/>
              </w:rPr>
            </w:pPr>
          </w:p>
        </w:tc>
      </w:tr>
      <w:tr>
        <w:trPr>
          <w:trHeight w:val="216"/>
        </w:trPr>
        <w:tc>
          <w:tcPr>
            <w:tcW w:w="97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Indebtedness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10,723,068</w:t>
            </w:r>
          </w:p>
        </w:tc>
        <w:tc>
          <w:tcPr>
            <w:tcW w:w="0" w:type="dxa"/>
            <w:vAlign w:val="bottom"/>
          </w:tcPr>
          <w:p>
            <w:pPr>
              <w:spacing w:after="0"/>
              <w:rPr>
                <w:sz w:val="1"/>
                <w:szCs w:val="1"/>
                <w:color w:val="auto"/>
              </w:rPr>
            </w:pPr>
          </w:p>
        </w:tc>
      </w:tr>
      <w:tr>
        <w:trPr>
          <w:trHeight w:val="20"/>
        </w:trPr>
        <w:tc>
          <w:tcPr>
            <w:tcW w:w="9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and Earnings Per Share</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97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information is presented as of June 30, 2026:</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78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Existing</w:t>
            </w:r>
          </w:p>
        </w:tc>
        <w:tc>
          <w:tcPr>
            <w:tcW w:w="0" w:type="dxa"/>
            <w:vAlign w:val="bottom"/>
          </w:tcPr>
          <w:p>
            <w:pPr>
              <w:spacing w:after="0"/>
              <w:rPr>
                <w:sz w:val="1"/>
                <w:szCs w:val="1"/>
                <w:color w:val="auto"/>
              </w:rPr>
            </w:pPr>
          </w:p>
        </w:tc>
      </w:tr>
      <w:tr>
        <w:trPr>
          <w:trHeight w:val="229"/>
        </w:trPr>
        <w:tc>
          <w:tcPr>
            <w:tcW w:w="9780" w:type="dxa"/>
            <w:vAlign w:val="bottom"/>
          </w:tcPr>
          <w:p>
            <w:pPr>
              <w:spacing w:after="0"/>
              <w:rPr>
                <w:sz w:val="19"/>
                <w:szCs w:val="19"/>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shareholder</w:t>
            </w:r>
          </w:p>
        </w:tc>
        <w:tc>
          <w:tcPr>
            <w:tcW w:w="0" w:type="dxa"/>
            <w:vAlign w:val="bottom"/>
          </w:tcPr>
          <w:p>
            <w:pPr>
              <w:spacing w:after="0"/>
              <w:rPr>
                <w:sz w:val="1"/>
                <w:szCs w:val="1"/>
                <w:color w:val="auto"/>
              </w:rPr>
            </w:pPr>
          </w:p>
        </w:tc>
      </w:tr>
      <w:tr>
        <w:trPr>
          <w:trHeight w:val="245"/>
        </w:trPr>
        <w:tc>
          <w:tcPr>
            <w:tcW w:w="97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30/6/2026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income (loss) attributable to the shareholders of the company</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(8,035,306)</w:t>
            </w:r>
          </w:p>
        </w:tc>
        <w:tc>
          <w:tcPr>
            <w:tcW w:w="0" w:type="dxa"/>
            <w:vAlign w:val="bottom"/>
          </w:tcPr>
          <w:p>
            <w:pPr>
              <w:spacing w:after="0"/>
              <w:rPr>
                <w:sz w:val="1"/>
                <w:szCs w:val="1"/>
                <w:color w:val="auto"/>
              </w:rPr>
            </w:pPr>
          </w:p>
        </w:tc>
      </w:tr>
      <w:tr>
        <w:trPr>
          <w:trHeight w:val="216"/>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(852.60)</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9,424.5</w:t>
            </w:r>
          </w:p>
        </w:tc>
        <w:tc>
          <w:tcPr>
            <w:tcW w:w="0" w:type="dxa"/>
            <w:vAlign w:val="bottom"/>
          </w:tcPr>
          <w:p>
            <w:pPr>
              <w:spacing w:after="0"/>
              <w:rPr>
                <w:sz w:val="1"/>
                <w:szCs w:val="1"/>
                <w:color w:val="auto"/>
              </w:rPr>
            </w:pP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5884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7875" cy="5884545"/>
                    </a:xfrm>
                    <a:prstGeom prst="rect">
                      <a:avLst/>
                    </a:prstGeom>
                    <a:noFill/>
                  </pic:spPr>
                </pic:pic>
              </a:graphicData>
            </a:graphic>
          </wp:anchor>
        </w:drawing>
      </w:r>
    </w:p>
    <w:p>
      <w:pPr>
        <w:jc w:val="both"/>
        <w:ind w:left="340" w:hanging="328"/>
        <w:spacing w:after="0" w:line="25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26, 2026 of 1 share for every 3 shares issued, in March 2026 of 1 share for every 4 shares issued, in July 2026 of 1 share for every 3 shares issued, in September 2026 of 1 share for every 3 shares issued, on October 12, 2026 of 1 share for every 4 shares issued, and on October 23, 2026 of 1 share for every 8 shares issued respectively.</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40" w:top="931"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6306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7875" cy="6630670"/>
                    </a:xfrm>
                    <a:prstGeom prst="rect">
                      <a:avLst/>
                    </a:prstGeom>
                    <a:noFill/>
                  </pic:spPr>
                </pic:pic>
              </a:graphicData>
            </a:graphic>
          </wp:anchor>
        </w:drawing>
        <w:t>Implications of being a “Foreign Private Issuer”</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that are applicable to “foreign private issuers,” and under those requirements, we file reports with the SEC. As a foreign private issuer, we are not subject to the same requirements that are imposed upon U.S. domestic issuers by the SEC. Under the Exchange Act, we are subject to reporting obligations that, in certain respects, are less detailed and less frequent than those of U.S. domestic reporting companies. For example, we are not required to issue quarterly reports, proxy statements that comply with the requirements applicable to U.S. domestic reporting companies or individual executive compensation information that is as detailed as that required of U.S. domestic reporting companies. We also have four months after the end of each fiscal year to file our annual report with the SEC and are not required to file current reports as frequently or promptly as U.S. domestic reporting companies. Our officers, directors and principal shareholders are exempt from the requirements to report transactions in our equity securities and from the short-swing profit liability provisions contained in Section 16 of the Exchange Act. As a foreign private issuer, we are not subject to the requirements of Regulation FD (Fair Disclosure) promulgated under the Exchange Act. In addition, as a foreign private issuer, we are permitted to follow certain home country corporate governance practices instead of those otherwise required under the rules of Nasdaq for domestic U.S. issuers and are not required to be compliant with all Nasdaq rules as of the date of our initial listing on Nasdaq as would domestic U.S. issuers. These exemptions and leniencies will reduce the frequency and scope of information and protections available to you in comparison to those applicable to a U.S. domestic reporting company. We intend to take advantage of the exemptions available to us as a foreign private issuer.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Investing in our Class A Ordinary Shares involves significant risks. You should carefully consider all of the information in this prospectus before making an investment in our shares. Below please find a summary of the principal risks we face, organized under relevant headings.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 Part I, Item 3, D. Risk Factors in our most recent Annual Report on Form 20-F.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NewGenIvf’s Business and Industry</w:t>
      </w:r>
    </w:p>
    <w:p>
      <w:pPr>
        <w:spacing w:after="0" w:line="229" w:lineRule="exact"/>
        <w:rPr>
          <w:sz w:val="20"/>
          <w:szCs w:val="20"/>
          <w:color w:val="auto"/>
        </w:rPr>
      </w:pPr>
    </w:p>
    <w:p>
      <w:pPr>
        <w:ind w:left="960" w:hanging="320"/>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continue operating as a going concern.</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fertility market in which NewGenIvf participates is competitive, and if NewGenIvf does not continue to compete effectively, its results of operations could be materially and adversely affected.</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 has a limited operating history with its current platform of solutions, which makes it difficult to predict its future prospects, financial performance and results of operations.</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 is undergoing a significant and rapid business transformation, including expansion into real estate development in the UAE, which involves substantial risks and may not be successful.</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NewGenIvf’s new strategic initiatives may place significant strain on the Company’s management, and operational resources.</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NewGenIvf’s real estate development projects are subject to numerous risks that could prevent the Company from realizing the projected returns.</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acquired assets, such as intellectual property, is complex and subjective, and may not be realized.</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NewGenIvf’s marketing efforts depend significantly on its ability to receive positive references from its existing clients.</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NewGenIvf is unable to attract new clients, its business, financial condition and results of operations would be adversely affected.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29" w:name="page30"/>
    <w:bookmarkEnd w:id="29"/>
    <w:p>
      <w:pPr>
        <w:ind w:left="320" w:hanging="320"/>
        <w:spacing w:after="0" w:line="282"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1964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27875" cy="7196455"/>
                    </a:xfrm>
                    <a:prstGeom prst="rect">
                      <a:avLst/>
                    </a:prstGeom>
                    <a:noFill/>
                  </pic:spPr>
                </pic:pic>
              </a:graphicData>
            </a:graphic>
          </wp:anchor>
        </w:drawing>
        <w:t>NewGenIvf’s business depends on its ability to maintain its existing client demographics. Any failure to do so would harm its business, financial condition and results of operations.</w:t>
      </w:r>
    </w:p>
    <w:p>
      <w:pPr>
        <w:spacing w:after="0" w:line="188"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NewGenIvf fails to offer high-quality support, its reputation could suffer.</w:t>
      </w:r>
    </w:p>
    <w:p>
      <w:pPr>
        <w:spacing w:after="0" w:line="225" w:lineRule="exact"/>
        <w:rPr>
          <w:rFonts w:ascii="Times New Roman" w:cs="Times New Roman" w:eastAsia="Times New Roman" w:hAnsi="Times New Roman"/>
          <w:sz w:val="18"/>
          <w:szCs w:val="18"/>
          <w:color w:val="auto"/>
        </w:rPr>
      </w:pPr>
    </w:p>
    <w:p>
      <w:pPr>
        <w:ind w:left="320" w:hanging="320"/>
        <w:spacing w:after="0" w:line="282"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NewGenIvf’s failure to effectively develop and expand its marketing and sales capabilities could harm its ability to increase its client base and achieve broader market acceptance of solutions NewGenIvf provides.</w:t>
      </w:r>
    </w:p>
    <w:p>
      <w:pPr>
        <w:spacing w:after="0" w:line="161"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 may experience net losses and may not sustain profitability in the future.</w:t>
      </w:r>
    </w:p>
    <w:p>
      <w:pPr>
        <w:spacing w:after="0" w:line="225"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NewGenIvf’s future revenue may not grow at the rates it historically has, or at all.</w:t>
      </w:r>
    </w:p>
    <w:p>
      <w:pPr>
        <w:spacing w:after="0" w:line="225" w:lineRule="exact"/>
        <w:rPr>
          <w:rFonts w:ascii="Times New Roman" w:cs="Times New Roman" w:eastAsia="Times New Roman" w:hAnsi="Times New Roman"/>
          <w:sz w:val="18"/>
          <w:szCs w:val="18"/>
          <w:color w:val="auto"/>
        </w:rPr>
      </w:pPr>
    </w:p>
    <w:p>
      <w:pPr>
        <w:ind w:left="320" w:hanging="320"/>
        <w:spacing w:after="0" w:line="282"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NewGenIvf’s quarterly and annual results may fluctuate significantly and may not fully reflect the underlying performance of NewGenIvf’s business.</w:t>
      </w:r>
    </w:p>
    <w:p>
      <w:pPr>
        <w:spacing w:after="0" w:line="161" w:lineRule="exact"/>
        <w:rPr>
          <w:rFonts w:ascii="Times New Roman" w:cs="Times New Roman" w:eastAsia="Times New Roman" w:hAnsi="Times New Roman"/>
          <w:sz w:val="18"/>
          <w:szCs w:val="18"/>
          <w:color w:val="auto"/>
        </w:rPr>
      </w:pPr>
    </w:p>
    <w:p>
      <w:pPr>
        <w:ind w:left="320" w:hanging="320"/>
        <w:spacing w:after="0" w:line="282"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estimates and assumptions NewGenIvf uses to determine the size of the target markets for its services are inaccurate, its future growth rate may be impacted and its business would be harmed.</w:t>
      </w:r>
    </w:p>
    <w:p>
      <w:pPr>
        <w:spacing w:after="0" w:line="161" w:lineRule="exact"/>
        <w:rPr>
          <w:rFonts w:ascii="Times New Roman" w:cs="Times New Roman" w:eastAsia="Times New Roman" w:hAnsi="Times New Roman"/>
          <w:sz w:val="18"/>
          <w:szCs w:val="18"/>
          <w:color w:val="auto"/>
        </w:rPr>
      </w:pPr>
    </w:p>
    <w:p>
      <w:pPr>
        <w:ind w:left="320" w:hanging="320"/>
        <w:spacing w:after="0" w:line="282"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 may not be able to successfully manage its growth, and if NewGenIvf is not able to grow efficiently, its business, financial condition and results of operations could be harmed.</w:t>
      </w:r>
    </w:p>
    <w:p>
      <w:pPr>
        <w:spacing w:after="0" w:line="161" w:lineRule="exact"/>
        <w:rPr>
          <w:rFonts w:ascii="Times New Roman" w:cs="Times New Roman" w:eastAsia="Times New Roman" w:hAnsi="Times New Roman"/>
          <w:sz w:val="18"/>
          <w:szCs w:val="18"/>
          <w:color w:val="auto"/>
        </w:rPr>
      </w:pPr>
    </w:p>
    <w:p>
      <w:pPr>
        <w:ind w:left="320" w:hanging="320"/>
        <w:spacing w:after="0" w:line="282"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NewGenIvf’s new solutions and services are not adopted by its clients, or if it fails to innovate and develop new offerings that are adopted by its clients, its revenue and results of operations may be adversely affected.</w:t>
      </w:r>
    </w:p>
    <w:p>
      <w:pPr>
        <w:spacing w:after="0" w:line="161" w:lineRule="exact"/>
        <w:rPr>
          <w:rFonts w:ascii="Times New Roman" w:cs="Times New Roman" w:eastAsia="Times New Roman" w:hAnsi="Times New Roman"/>
          <w:sz w:val="18"/>
          <w:szCs w:val="18"/>
          <w:color w:val="auto"/>
        </w:rPr>
      </w:pPr>
    </w:p>
    <w:p>
      <w:pPr>
        <w:ind w:left="320" w:hanging="320"/>
        <w:spacing w:after="0" w:line="282"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NewGenIvf fails to adapt and respond effectively to the changing medical landscape, changing regulations, changing client needs, requirements or preferences, its offerings may become less competitive.</w:t>
      </w:r>
    </w:p>
    <w:p>
      <w:pPr>
        <w:spacing w:after="0" w:line="161" w:lineRule="exact"/>
        <w:rPr>
          <w:rFonts w:ascii="Times New Roman" w:cs="Times New Roman" w:eastAsia="Times New Roman" w:hAnsi="Times New Roman"/>
          <w:sz w:val="18"/>
          <w:szCs w:val="18"/>
          <w:color w:val="auto"/>
        </w:rPr>
      </w:pPr>
    </w:p>
    <w:p>
      <w:pPr>
        <w:ind w:left="320" w:hanging="320"/>
        <w:spacing w:after="0" w:line="282"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NewGenIvf fails to maintain and enhance its brand, its ability to expand its client base will be impaired and its business, financial condition and results of operations may suffer.</w:t>
      </w:r>
    </w:p>
    <w:p>
      <w:pPr>
        <w:spacing w:after="0" w:line="161" w:lineRule="exact"/>
        <w:rPr>
          <w:rFonts w:ascii="Times New Roman" w:cs="Times New Roman" w:eastAsia="Times New Roman" w:hAnsi="Times New Roman"/>
          <w:sz w:val="18"/>
          <w:szCs w:val="18"/>
          <w:color w:val="auto"/>
        </w:rPr>
      </w:pPr>
    </w:p>
    <w:p>
      <w:pPr>
        <w:ind w:left="320" w:hanging="320"/>
        <w:spacing w:after="0" w:line="282"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NewGenIvf fails to retain and motivate members of its management team or other key employees, or fails to attract additional qualified personnel to support its operations, its business and future growth prospects could be harmed.</w:t>
      </w:r>
    </w:p>
    <w:p>
      <w:pPr>
        <w:spacing w:after="0" w:line="161" w:lineRule="exact"/>
        <w:rPr>
          <w:rFonts w:ascii="Times New Roman" w:cs="Times New Roman" w:eastAsia="Times New Roman" w:hAnsi="Times New Roman"/>
          <w:sz w:val="18"/>
          <w:szCs w:val="18"/>
          <w:color w:val="auto"/>
        </w:rPr>
      </w:pPr>
    </w:p>
    <w:p>
      <w:pPr>
        <w:ind w:left="320" w:hanging="320"/>
        <w:spacing w:after="0" w:line="282"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successfully market and sell its services and products in Asia-Pacific markets, NewGenIvf must address many international business risks with which NewGenIvf has limited experience.</w:t>
      </w:r>
    </w:p>
    <w:p>
      <w:pPr>
        <w:spacing w:after="0" w:line="161" w:lineRule="exact"/>
        <w:rPr>
          <w:rFonts w:ascii="Times New Roman" w:cs="Times New Roman" w:eastAsia="Times New Roman" w:hAnsi="Times New Roman"/>
          <w:sz w:val="18"/>
          <w:szCs w:val="18"/>
          <w:color w:val="auto"/>
        </w:rPr>
      </w:pPr>
    </w:p>
    <w:p>
      <w:pPr>
        <w:jc w:val="both"/>
        <w:ind w:left="320" w:hanging="320"/>
        <w:spacing w:after="0" w:line="266"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Ethical, legal and social concerns related to the use of assisted reproductive technology could reduce demand for the fertility services provided by the medical facilities in NewGenIvf’s network, and thus may adversely affect the business, financial conditions and results of operations of the medical facilities in its network.</w:t>
      </w:r>
    </w:p>
    <w:p>
      <w:pPr>
        <w:spacing w:after="0" w:line="175"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 is reliant on revenue from international clients.</w:t>
      </w:r>
    </w:p>
    <w:p>
      <w:pPr>
        <w:spacing w:after="0" w:line="225" w:lineRule="exact"/>
        <w:rPr>
          <w:rFonts w:ascii="Times New Roman" w:cs="Times New Roman" w:eastAsia="Times New Roman" w:hAnsi="Times New Roman"/>
          <w:sz w:val="18"/>
          <w:szCs w:val="18"/>
          <w:color w:val="auto"/>
        </w:rPr>
      </w:pPr>
    </w:p>
    <w:p>
      <w:pPr>
        <w:ind w:left="320" w:hanging="320"/>
        <w:spacing w:after="0" w:line="282"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could have a material and adverse effect on NewGenIvf’s results of operations and the value of your investment.</w:t>
      </w:r>
    </w:p>
    <w:p>
      <w:pPr>
        <w:spacing w:after="0" w:line="161" w:lineRule="exact"/>
        <w:rPr>
          <w:rFonts w:ascii="Times New Roman" w:cs="Times New Roman" w:eastAsia="Times New Roman" w:hAnsi="Times New Roman"/>
          <w:sz w:val="18"/>
          <w:szCs w:val="18"/>
          <w:color w:val="auto"/>
        </w:rPr>
      </w:pPr>
    </w:p>
    <w:p>
      <w:pPr>
        <w:ind w:left="320" w:hanging="320"/>
        <w:spacing w:after="0" w:line="282"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control of currency conversion may limit NewGenIvf’s ability to utilize NewGenIvf’s net revenue effectively and affect the value of your investment.</w:t>
      </w:r>
    </w:p>
    <w:p>
      <w:pPr>
        <w:spacing w:after="0" w:line="161" w:lineRule="exact"/>
        <w:rPr>
          <w:rFonts w:ascii="Times New Roman" w:cs="Times New Roman" w:eastAsia="Times New Roman" w:hAnsi="Times New Roman"/>
          <w:sz w:val="18"/>
          <w:szCs w:val="18"/>
          <w:color w:val="auto"/>
        </w:rPr>
      </w:pPr>
    </w:p>
    <w:p>
      <w:pPr>
        <w:ind w:left="320" w:hanging="320"/>
        <w:spacing w:after="0" w:line="282"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NewGenIvf’s assets and operations are located in Thailand, Cambodia and Kyrgyzstan and they are subject to economic, legal and regulatory uncertainties in such countries.</w:t>
      </w:r>
    </w:p>
    <w:p>
      <w:pPr>
        <w:spacing w:after="0" w:line="200" w:lineRule="exact"/>
        <w:rPr>
          <w:sz w:val="20"/>
          <w:szCs w:val="20"/>
          <w:color w:val="auto"/>
        </w:rPr>
      </w:pPr>
    </w:p>
    <w:p>
      <w:pPr>
        <w:spacing w:after="0" w:line="20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1100" w:top="958" w:right="479" w:bottom="1440" w:gutter="0" w:footer="0" w:header="0"/>
        </w:sectPr>
      </w:pPr>
    </w:p>
    <w:bookmarkStart w:id="30" w:name="page31"/>
    <w:bookmarkEnd w:id="30"/>
    <w:p>
      <w:pPr>
        <w:ind w:left="960" w:hanging="320"/>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2191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27875" cy="6219190"/>
                    </a:xfrm>
                    <a:prstGeom prst="rect">
                      <a:avLst/>
                    </a:prstGeom>
                    <a:noFill/>
                  </pic:spPr>
                </pic:pic>
              </a:graphicData>
            </a:graphic>
          </wp:anchor>
        </w:drawing>
        <w:t>Failure to comply with the terms of future financing arrangements could result in default, which could have an adverse effect on NewGenIvf’s cash flow and liquidity.</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 requires a significant amount of capital to fund its operations and growth. If NewGenIvf cannot obtain sufficient capital on acceptable terms, its business, financial condition, and prospects may be materially and adversely affected.</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NewGenIvf’s Solana token purchase agreement with White Lion is novel and subject to extreme volatility and regulatory scrutiny.</w:t>
      </w:r>
    </w:p>
    <w:p>
      <w:pPr>
        <w:spacing w:after="0" w:line="225"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defects in certain leased property interests and failure to register certain lease agreements may materially and adversely affect NewGenIvf’s business, financial condition, results of operations, and prospects.</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 currently has no insurance coverage for its operations.</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 may not be successful in adapting to technological developments, which may affect its business and results of operations.</w:t>
      </w:r>
    </w:p>
    <w:p>
      <w:pPr>
        <w:spacing w:after="0" w:line="225"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its computer systems, or those of its providers, specialty pharmacies or other downstream vendors lag, fail or suffer security breaches, NewGenIvf may incur a material disruption of its services, which could materially impact its business and the results of operations.</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comply with the filing deadlines for reports that we file pursuant to the Exchange Act, and our failure to timely file such reports may have material adverse consequences on our business.</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repurchase program may not be fully implemented and may not enhance shareholder value.</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meet the listing requirements of Nasdaq, our Class A Ordinary Shares will be delisted.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NewGenIvf’s Relationships with Third Parties</w:t>
      </w:r>
    </w:p>
    <w:p>
      <w:pPr>
        <w:spacing w:after="0" w:line="229" w:lineRule="exact"/>
        <w:rPr>
          <w:sz w:val="20"/>
          <w:szCs w:val="20"/>
          <w:color w:val="auto"/>
        </w:rPr>
      </w:pPr>
    </w:p>
    <w:p>
      <w:pPr>
        <w:jc w:val="both"/>
        <w:ind w:left="960" w:hanging="320"/>
        <w:spacing w:after="0" w:line="26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NewGenIvf’s business depends on its ability to maintain its network of high-quality fertility specialists and other healthcare providers. If NewGenIvf is unable to do so, its future growth would be limited and its business, financial condition and results of operations would be harmed.</w:t>
      </w:r>
    </w:p>
    <w:p>
      <w:pPr>
        <w:spacing w:after="0" w:line="175"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facilities and professionals in NewGenIvf’s network could become the subject of litigation, allegations and other claims, and NewGenIvf is not insured against these liabilities.</w:t>
      </w:r>
    </w:p>
    <w:p>
      <w:pPr>
        <w:spacing w:after="0" w:line="161" w:lineRule="exact"/>
        <w:rPr>
          <w:rFonts w:ascii="Times New Roman" w:cs="Times New Roman" w:eastAsia="Times New Roman" w:hAnsi="Times New Roman"/>
          <w:sz w:val="18"/>
          <w:szCs w:val="18"/>
          <w:color w:val="auto"/>
        </w:rPr>
      </w:pPr>
    </w:p>
    <w:p>
      <w:pPr>
        <w:jc w:val="both"/>
        <w:ind w:left="960" w:hanging="320"/>
        <w:spacing w:after="0" w:line="26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assisted reproductive medical facilities in NewGenIvf’s network have limited control over the quality of the pharmaceuticals, medical equipment, medical consumables and other supplies used in its operations, and cannot guarantee that the products in use are not defective or counterfeit. NewGenIvf also has no control over independent sub-contractors and cannot guarantee the services thereof.</w:t>
      </w:r>
    </w:p>
    <w:p>
      <w:pPr>
        <w:spacing w:after="0" w:line="175"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NewGenIvf loses its relationship with one or more key pharmaceutical manufacturers, its business and results of operations could be adversely affected.</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 has engaged in transactions with related parties, and such transactions present potential conflicts of interest that could have an adverse effect on its business and results of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931" w:right="479" w:bottom="1440" w:gutter="0" w:footer="0" w:header="0"/>
        </w:sectPr>
      </w:pPr>
    </w:p>
    <w:bookmarkStart w:id="31" w:name="page32"/>
    <w:bookmarkEnd w:id="31"/>
    <w:p>
      <w:pPr>
        <w:ind w:left="960" w:hanging="320"/>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493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7875" cy="6493510"/>
                    </a:xfrm>
                    <a:prstGeom prst="rect">
                      <a:avLst/>
                    </a:prstGeom>
                    <a:noFill/>
                  </pic:spPr>
                </pic:pic>
              </a:graphicData>
            </a:graphic>
          </wp:anchor>
        </w:drawing>
        <w:t>NewGenIvf may be subject to claims and allegations relating to intellectual property and other causes.</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data and information in this prospectus relied on by NewGenIvf were obtained from third-party data and polls. These metrics were not independently verified by NewGenIvf and may not be accurate.</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 is dependent on a single joint venture partner for our real estate development project in the UAE and are subject to the legal, regulatory, and economic risks of operating in a new jurisdiction.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9" w:lineRule="exact"/>
        <w:rPr>
          <w:sz w:val="20"/>
          <w:szCs w:val="20"/>
          <w:color w:val="auto"/>
        </w:rPr>
      </w:pPr>
    </w:p>
    <w:p>
      <w:pPr>
        <w:jc w:val="both"/>
        <w:ind w:left="960" w:right="20" w:hanging="320"/>
        <w:spacing w:after="0" w:line="26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 operates in a highly regulated industry and must comply with a significant number of complex and evolving requirements. Any lack of requisite approvals, licenses, or permits applicable to NewGenIvf’s business may have a material and adverse impact on NewGenIvf’s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or offering of gender selection services in certain jurisdictions in which NewGenIvf operates could expose NewGenIvf and its directors and executive officers to significant legal and regulatory risks, including potential penalties.</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NewGenIvf’s effective tax rate or tax liability may have an adverse effect on its results of operations.</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NewGenIvf’s reported financial results may be adversely affected by changes in accounting principles generally accepted in the US.</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NewGenIvf’s estimates or judgments relating to its critical accounting policies prove to be incorrect, its results of operations could be adversely affected.</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 is subject to anti-corruption, anti-bribery, anti-money laundering, and similar laws, and non-compliance with such laws can subject it to criminal or civil liability and harm its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and 2026 Debt Financing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1, 2025, the Company entered into a new Securities Purchase Agreement (“2025 Securities Purchase Agreement”) with certain investors named therein (collectively, the “Buyers”), pursuant to which, amongst other things: (i) the Company agreed to sell, at an initial closing (and such initial closing, the “Initial Closing”) a senior convertible note (the “New CB Initial Note”) in the aggregate original principal amount not exceeding $3,200,000, convertible into Class A Ordinary Shares pursuant to its terms; and (ii) the Company may require each Buyer (or each Buyer may require the Company, as applicable) to participate in the sale of one or more additional convertible notes (which aggregate original principal amount for all additional convertible notes shall not exceed $25,600,000) (the “New CB Additional Notes”).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2025 Securities Purchase Agreement is filed as Exhibit 4.1 of the Company’s current report on Form 6-K dated April 3, 2025 and is incorporated by reference herein. The first tranche of $3,200,000 was received on June 3, 2025.</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On April 2, 2025 and July 16, 2025, the Company consummated the fourth and fifth tranche of its debt financing under the terms of its existing Securities Purchase Agreement with the investor, At the closing of the fourth and fifth tranche, the Company sold to the investor a senior convertible note in the principal amount of $2,000,000 each. The Note bears an interest rate of 14.75% per annum and may be adjustable from time to time pursuant to its terms.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58" w:right="459" w:bottom="1440" w:gutter="0" w:footer="0" w:header="0"/>
        </w:sectPr>
      </w:pPr>
    </w:p>
    <w:bookmarkStart w:id="32" w:name="page33"/>
    <w:bookmarkEnd w:id="3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59277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27875" cy="5927725"/>
                    </a:xfrm>
                    <a:prstGeom prst="rect">
                      <a:avLst/>
                    </a:prstGeom>
                    <a:noFill/>
                  </pic:spPr>
                </pic:pic>
              </a:graphicData>
            </a:graphic>
          </wp:anchor>
        </w:drawing>
        <w:t>On October 15, 2025, the Company entered into an additional Securities Purchase Agreement with Vanquish Funding Group Inc. (“Vanquish SPA”), pursuant to which, amongst other things, (i) the Company agreed to sell a convertible note in the aggregate principal amount of $257,000, convertible into Class A Ordinary Shares pursuant to its terms; and (ii) the parties may agree to additional tranches of funding up to $2,200,000 during the following twelve months. The first tranche of $257,000 was received on October 15, 2025. The second tranche of $157,000 was received on November 10, 2025. The third tranche of $107,000 was received on January 30, 2026. The fourth tranche of $207,000 was received on May 4, 2026.</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12, 2025, the Company entered into a Securities Purchase Agreement with Labrys Fund II, L.P. (“Labrys SPA”), pursuant to which, amongst other things, the Company agreed to sell a convertible note in the aggregate principal amount of $250,000, convertible into Class A Ordinary Shares pursuant to its terms and the funding of $250,000 was received on November 15, 2025.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22, 2026, the Company entered into a Securities Purchase Agreement with Boot Capital LLC, pursuant to which, amongst other things, the Company agreed to sell a convertible note in the aggregate principal amount of $50,000, convertible into Class A Ordinary Shares pursuant to its terms and the funding of $50,000 was received on February 2,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18, 2026, the Company entered into a Securities Purchase Agreement with CFI Capital LLC, pursuant to which, amongst other things, the Company agreed to sell a convertible note in the aggregate principal amount of $220,000, convertible into Class A Ordinary Shares pursuant to its terms and the funding of $200,000 was received on March 23,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25, 2026, the Company entered into a Securities Purchase Agreement with FirstFire Global Opportunities Fund LLC, pursuant to which, amongst other things, the Company agreed to sell a convertible note in the aggregate principal amount of $220,000, convertible into Class A Ordinary Shares pursuant to its terms and the funding of $220,000 was received on or about March 31,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30, 2026, the Company entered into a Securities Purchase Agreement with Silvercrest Hybrid Capital LLC, pursuant to which, amongst other things, the Company agreed to sell a convertible note in the aggregate principal amount of $200,000, convertible into Class A Ordinary Shares pursuant to its terms and the funding of $220,000 was received on March 31, 2026.</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April 14, 2026, the Company entered into a Securities Purchase Agreement with Pacific Pier Capital II, LP, pursuant to which, amongst other things, the Company agreed to sell a convertible note in the aggregate principal amount of $200,000, convertible into Class A Ordinary Shares pursuant to its terms and the funding of $200,000 was received on April 18,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20, 2026, the Company entered into a Securities Purchase Agreement with Labrys Fund II, L.P., pursuant to which, amongst other things, the Company agreed to sell a convertible note in the aggregate principal amount of $250,000, convertible into Class A Ordinary Shares pursuant to its terms and the funding of $250,000 was received on April 20,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27, 2026, the Company entered into a Securities Purchase Agreement with White Lion Capital LLC, pursuant to which, amongst other things, the Company agreed to sell a convertible note in the aggregate principal amount of $200,000, convertible into Class A Ordinary Shares pursuant to its terms and the funding of $200,000 was received on April 30,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4, 2026, the Company entered into a Securities Purchase Agreement with Vanquish Funding Group, Inc., pursuant to which, amongst other things, (i) the Company agreed to sell a convertible note in the aggregate principal amount of $207,000, convertible into Class A Ordinary Shares pursuant to its terms and the funding of $207,000 was received on May 4, 2026.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33" w:name="page34"/>
    <w:bookmarkEnd w:id="3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88080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27875" cy="8808085"/>
                    </a:xfrm>
                    <a:prstGeom prst="rect">
                      <a:avLst/>
                    </a:prstGeom>
                    <a:noFill/>
                  </pic:spPr>
                </pic:pic>
              </a:graphicData>
            </a:graphic>
          </wp:anchor>
        </w:drawing>
        <w:t>On May 26, 2026, the Company entered into a Securities Purchase Agreement with White Lion Capital LLC, pursuant to which, amongst other things, the Company agreed to sell a convertible note in the aggregate principal amount of $166,667, convertible into Class A Ordinary Shares pursuant to its terms and the funding of $166,667 was received on May 26,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 2026, the Company entered into a Securities Purchase Agreement with Vanquish Funding Group, Inc., pursuant to which, amongst other things, (i) the Company agreed to sell a convertible note in the aggregate principal amount of $132,000, convertible into Class A Ordinary Shares pursuant to its terms and the funding of $132,000 was received on June 5, 2026.</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15, 2026, the Company entered into a repurchase and forbearance agreement (“Repurchase and Forbearance Agreement”) with JAK Opportunities VI LLC (“JAK”), pursuant to which the Company agreed to repurchase certain outstanding convertible notes, and warrants previously issued to the Investor, and to make certain forbearance payments in scheduled instalments to JAK, in consideration for JAK’s forbearance from converting outstanding convertible notes, exercising outstanding warrants and effectuating additional closings under existing securities purchase agreements. The Repurchase and Forbearance Agreement was filed as Exhibit 10.1 of the Company’s current report on Form 6-K dated June 16, 2026 and is incorporated by reference herein.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22, 2026, the Company entered into a Securities Purchase Agreement with White Lion Capital LLC, pursuant to which, amongst other things, the Company agreed to sell a convertible note in the aggregate principal amount of $111,111, convertible into Class A Ordinary Shares pursuant to its terms.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10, 2026, the Company entered into a Securities Purchase Agreement with Vanquish Funding Group, pursuant to which, amongst other things, the Company agreed to sell a convertible note in the aggregate principal amount of $100,000, convertible into Class A Ordinary Shares pursuant to its terms.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11, 2026, the Company entered into an Amendment and Exchange Agreement (the “Exchange Agreement”) with JAK, pursuant to which on August 14, 2026, the Company issued to JAK a new senior convertible note in the aggregate principal amount of $7,105,468.75 (the “New Note”) in exchange for the existing outstanding convertible notes and related warrants previously issued by the Company to JAK. In connection with the Exchange Agreement, JAK also entered into a Leak-Out Agreement with the Company (the “Leak-Out Agreement”) restricting JAK’s sales of the Company’s Class A ordinary shares issuable upon conversion of the New Note. The Exchange Agreement, New Note and Leak-Out Agreement were filed as Exhibit 10.1, 10.2 and 10.3, respectively, of the Company’s current report on Form 6-K dated August 17, 2026 and are incorporated by reference herein</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August 17, 2026, the Company entered into a Securities Purchase Agreement with Hinterland Partners LLC, pursuant to which, amongst other things, the Company agreed to sell a convertible note in the aggregate principal amount of $250,000, convertible into Class A Ordinary Shares pursuant to its terms.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 2026, the Company entered into a Securities Purchase Agreement with Labrys Fund II, L.P, pursuant to which, amongst other things, the Company agreed to sell a convertible note in the aggregate principal amount of $161,250, convertible into Class A Ordinary Shars pursuant to its terms.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9, 2026, the Company entered into a Securities Purchase Agreement with Silvercrest Hybrid Capital LLC, pursuant to which, amongst other things, the Company agreed to sell a convertible note in the aggregate principal amount of $250,000, convertible into Class A Ordinary Shars pursuant to its terms.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9, 2026, the Company entered into a Securities Purchase Agreement with CFI Capital LLC, pursuant to which, amongst other things, the Company agreed to sell a convertible note in the aggregate principal amount of $250,000, convertible into Class A Ordinary Shars pursuant to its terms.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21, 2026, the Company entered into a Securities Purchase Agreement with Auctus Fund LLC, pursuant to which, amongst other things, the Company agreed to sell a convertible note in the aggregate principal amount of $175,000, convertible into Class A Ordinary Shars pursuant to its terms.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21, 2026, the Company entered into a Securities Purchase Agreement with Efrat Investment LLC, pursuant to which, amongst other things, the Company agreed to sell a convertible note in the aggregate principal amount of $138,889, convertible into Class A Ordinary Shars pursuant to its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 in Digital Assets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19, 2024, the Company announced its engagement of OSL Digital Securities (“OSL”), a leading regulated digital asset platform in Hong Kong, and its deployment of US$1 million to establish the Company’s digital asset portfolio. On June 2, 2025, the Company announced plans to invest up to US$30 million in staking the digital asset SOL (the native token of the Solana network) and funding such investment using its existing credit facilities. As of the date of this prospectus, the Company does not have any SOL holdings, as all SOL tokens were used as consideration for the acquisition of its equity interest in PredicXion. The Company does not intend to invest further capital into SOL.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34" w:name="page35"/>
    <w:bookmarkEnd w:id="3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6821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27875" cy="6682105"/>
                    </a:xfrm>
                    <a:prstGeom prst="rect">
                      <a:avLst/>
                    </a:prstGeom>
                    <a:noFill/>
                  </pic:spPr>
                </pic:pic>
              </a:graphicData>
            </a:graphic>
          </wp:anchor>
        </w:drawing>
        <w:t>On October 31, 2025, the Company entered into a binding term sheet with White Lion Capital LLC (“White Lion”) setting out the principal terms and conditions for a Digital Assets Purchase Agreement with a commitment amount of 600,000 Solana (SOL) tokens (“Term Sheet”). Pursuant to the Term Sheet, the Company will have the option, but not the obligation, to sell to White Lion shares of common stock of the Company over a 24-month period up to a total amount equivalent to the value of 600,000 Solana tokens. Upon a sale of shares, the Company will be compensated by White Lion in Solana tokens rather than cash. The transactions contemplated by the Term Sheet are subject to entry into definitive agreements and are subject to certain conditions, including completion of due diligence, and the filing of a registration statement immediately upon execution of the definitive agreements. There can be no assurance that any sales of the Company’s common stock to White Lion will occur under the Term Sheet or any definitive agreement that may be entered into. The Company is not obligated to sell any shares, and White Lion is not obligated to purchase shares until and unless a definitive Digital Assets Purchase Agreement is executed and all conditions thereunder are satisfied. In addition, any compensation to the Company would be in the form of Solana tokens rather than cash, and the value, availability, and transferability of such digital assets are subject to significant market volatility and regulatory uncertainty. Accordingly, there is no guarantee that the Company will receive any proceeds or Solana tokens pursuant to the contemplated arrangement.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 in United Arab Emirates (“UAE”) Real Estate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21, 2025, NewGenDigital Limited (“NewGenDigital”), a wholly owned subsidiary of the Company, signed a Memorandum of Understanding (the “MOU”) with BNW Real Estate Development LLC (“BNW” or the “Developer”), a prominent real estate developer in Ras Al Khaimah and Dubai, UAE. Per the terms of the MOU, NewGenDigital and BNW will endeavour to negotiate and execute a definitive Joint Venture Agreement (“JVA”) to form a special-purpose vehicle (“SPV”) with the intention of developing a plot of land in Ras Al Khaimah’s Beach District, UAE (the “Plot).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8, 2025, NewGenProperty Limited (“NewGenProperty”), a wholly owned subsidiary of the Company, entered into a development joint venture agreement (“DJVA”) with BNW to develop the Plot. Under the terms of the DVJA, NewGenProperty shall hold 60% of the joint venture, and be responsible for funding 36% of the purchase price of the Plot to the Beach District LLC OPC (“Master Developer”), while BNW shall be responsible for all the other cashflow and financing requirements of the project. In the event that BNW pays the balance of the Purchase Price of the Plot to the Master Developer, NewGenProperty shall reimburse BNW in accordance with the provisions of the DVJA.</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35" w:name="page36"/>
    <w:bookmarkEnd w:id="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7529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27875" cy="4752975"/>
                    </a:xfrm>
                    <a:prstGeom prst="rect">
                      <a:avLst/>
                    </a:prstGeom>
                    <a:noFill/>
                  </pic:spPr>
                </pic:pic>
              </a:graphicData>
            </a:graphic>
          </wp:anchor>
        </w:drawing>
        <w:t>NewGenProperty’s entitlement is an amount equivalent to 36% of the Gross Sales Revenue or Gross Sellable Area generated from the project, with deductions including (i) up to 10% of External and Internal Real Estate Agent and Brokerage Fees; (ii) 2% of Gross Sales Revenue for BNW’s Marketing Fees; and (iii) any amounts paid by the Developer towards the balance of the Purchase Price of the Plot on behalf of NewGenProperty.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any time before the commencement of the Pre-Sales Period, NewGenProperty has the right to convert the DJVA into a Joint Development by written notice to the Developer. Under a Joint Development arrangement, NewGenProperty shall fully contribute all project finances and be entitled to sixty-four percent (64%) of the net profit after deducting all development costs, taxes, duties, and all other costs and expenses of the joint venture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65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27875" cy="7659370"/>
                    </a:xfrm>
                    <a:prstGeom prst="rect">
                      <a:avLst/>
                    </a:prstGeom>
                    <a:noFill/>
                  </pic:spPr>
                </pic:pic>
              </a:graphicData>
            </a:graphic>
          </wp:anchor>
        </w:drawing>
        <w:t>Acquisition of Equity Interest in PredicXion Group Limited (“PredicXion” or “K25.ai”)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May 15, 2026, NewGenIvf signed a strategic investment agreement with PredicXion Group Limited, and Kong Yiu Cheung, PredicXion’s sole shareholder (the “Seller”), for the acquisition of up to a 10% equity interest in PredicXion (the “PredicXion Acquisition”) at a pre-money valuation of US$100,000,000. On May 28, 2026, NewGenIvf signed a share purchase agreement with PredicXion, and the Seller (“First PredicXion SPA”) for the acquisition of a 2% equity interest in PredicXion (“PredicXion Initial Acquisition”). The consideration payable for the PredicXion Initial Acquisition was a combination of: (i) cash consideration of US$1,000,000 or an equivalent amount in stablecoin, or Solana; and (ii) 666,667 newly issued Class A ordinary shares of the Company (equivalent to 2,315 Class A Ordinary Shares adjusted for Reverse Stock Split) at a share price of US$432. per share. Under the terms of the First PredicXion SPA, the Company has an option exercisable at any time within three months after signing the First PredicXion SPA, to acquire up to an additional 8% of PredicXion’s fully diluted equity at the same pre-money valuation of US$100,000,000 (“Top-up Option”). A copy of the First PredicXion SPA was filed as Exhibit 10.1 in the Company’s current report on Form 6-K dated May 28, 2026 and is incorporated by reference herein. On June 2, 2026, NewGenIvf exercised its Top-up Option to acquire an additional 4% equity interest in PredicXion (“Top-Up Acquisition”). Pursuant to the share purchase agreement (“First PredicXion Top-Up SPA”) among NewGenIvf, PredicXion, and the Seller for the Top-Up Acquisition, the Company shall acquire a 4% equity interest for an aggregate consideration of US$4,000,000, consisting of (i) US$2,000,000 payable in cash or in digital assets, and (ii) 1,500,000 Class A ordinary shares of the Company (equivalent to 5,208 Class A Ordinary Shares adjusted for Reverse Stock Split). The Company paid a cash deposit of US$300,000 upon signing of the Top-Up SPA, and shall pay the balance of $1,700,000 by August 30, 2026. A copy of the First PredicXion Top-Up SPA was filed as Exhibit 10.1 in the Company’s current report on Form 6-K dated June 4, 2026, and is incorporated by reference herein. On June 18, 2026, NewGenIvf exercised its Top-up Option to acquire an additional 4% equity interest in PredicXion (“Second Top-Up Acquisition”). Pursuant to the share purchase agreement (“Second PredicXion Top-Up SPA”) among NewGenIvf, PredicXion, and the Seller for the Second Top-Up Acquisition, the Company shall acquire a 4% equity interest for an aggregate consideration of US$4,000,000, consisting of (i) US$2,000,000 payable in cash or in digital assets, and (ii) 1,500,000 Class A ordinary shares of the Company (equivalent to 5,208 Class A Ordinary Shares adjusted for Reverse Stock Split). The parties agreed that the aggregate cash deposit to be paid pursuant to the First PredicXion Top-Up SPA and the Second PredicXion Top-Up SPA shall be US$800,000, payable upon the signing of the Second PredicXion Top-Up SPA, and the balance of $1,000,000 of the First PredicXion Top-Up SPA and the balance of $1,900,000 of the Second PredicXion Top Up SPA shall be paid by the Company to the Seller by August 31, 2026 and September 30, 2026 respectively. A copy of the Second PredicXion SPA was filed as Exhibit 10.1 in the Company’s current report on Form 6-K dated June 18, 2026, and is incorporated by reference herein.</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27, 2026, NewGenIvf signed a share purchase agreement with PredicXion, and the Seller (“Additional 3pct PredicXion SPA”) for the acquisition of an additional 3% equity interest in PredicXion. The consideration payable for the Additional 3pct PredicXion Acquisition was a combination of: (i) cash consideration of US$3,750,000 or an equivalent amount in stablecoin, or Solana; and (ii) 2,500,000 newly issued Class A ordinary shares (equivalent to 26,042 Class A Ordinary Shares adjusted for Reverse Stock Split) of the Company at a share price of US$1.50 per share (US$144 per share adjusted for Reverse Stock Split). A copy of the Additional 3pct PredicXion SPA was filed as Exhibit 10.1 in the Company’s current report on Form 6-K dated July 27, 2026, and is incorporated by reference herein.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613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27875" cy="6613525"/>
                    </a:xfrm>
                    <a:prstGeom prst="rect">
                      <a:avLst/>
                    </a:prstGeom>
                    <a:noFill/>
                  </pic:spPr>
                </pic:pic>
              </a:graphicData>
            </a:graphic>
          </wp:anchor>
        </w:drawing>
        <w:t>Exclusive Agency Agreement with PredicXion Group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Concurrently with its entry into the First PredicXion Top-Up SPA, NewGenIvf entered into an exclusive agency agreement (“EAA”) with PredicXion, pursuant to which PredicXion appointed NewGenIvf as its exclusive agent for the promotion, marketing and facilitation of its K25.ai platform in Thailand, Singapore, Japan and such other APAC markets as may be mutually agreed by the parties from time to time, excluding Mainland China, Hong Kong, Macau and any other restricted jurisdictions. In consideration for its services under the EAA, NewGenIvf is entitled to tiered commissions on the annual gross profit generated by K25.ai from customers introduced or directly serviced by NewGenIvf, calculated as (i) 10% on the first US$1,000,000 of annual gross profit, (ii) 7.5% on annual gross profit between US$1,000,000 and US$3,000,000 and (iii) 5% on annual gross profit in excess of US$3,000,000. The aggregate commission payable to NewGenIvf under the EAA is capped at US$5,000,000 per calendar year. The EAA has an initial term of three years from its effective date and will renew automatically for successive one-year periods thereafter. NewGenIvf’s exclusivity in each agreed territory is subject to NewGenIvf satisfying a minimum annual gross profit performance threshold of US$500,000 per calendar year in respect of customers introduced or directly serviced by NewGenIvf in that territory; failure to satisfy that threshold in any territory entitles K25.ai to terminate NewGenIvf’s exclusivity in that territory in accordance with the terms of the EAA. A copy of the EAA was filed as Exhibit 10.2 in the Company’s current report on Form 6-K dated May 28, 2026, and is incorporated by reference herein.</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PredicXion operates K25.ai, an AI-native prediction market that transforms livestreams into real-time interactive markets. K25.ai enables audiences to predict what happens next across live sports, esports, entertainment and creator content. Its proprietary AI infrastructure supports real-time market generation, content monitoring and outcome resolution, powering a seamless watch-to-predict experience. The services contemplated under the EAA are not directly related to the Company’s assisted reproductive services in the Asia-Pacific. Rather, the arrangement is a separate commercial initiative that leverages the Company’s established presence, business relationships, local market knowledge and professional network across the Asia-Pacific region. The specific services contemplated include: (i) identifying and introducing potential commercial counterparties, venue operators, content partners, distributors and other local enterprises in selected Asia-Pacific markets; (ii) supporting regional marketing and awareness activities for the K25.ai platform, including coordination of introductions and local market positioning; (iii) facilitating discussions regarding potential licensing, joint venture or other commercial arrangements in those markets; and (iv) providing local market knowledge and relationship support in connection with such discussions. There can be no assurance that any joint venture, license or other arrangement will be entered into or consummated, or as to the timing, scope or terms of any such arrangement.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5162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27875" cy="5516245"/>
                    </a:xfrm>
                    <a:prstGeom prst="rect">
                      <a:avLst/>
                    </a:prstGeom>
                    <a:noFill/>
                  </pic:spPr>
                </pic:pic>
              </a:graphicData>
            </a:graphic>
          </wp:anchor>
        </w:drawing>
        <w:t>Repurchase and Forbearance Agreement with JAK Opportunities VI LLC</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15, 2026, NewGenIvf entered into a Repurchase and Forbearance Agreement (the “Repurchase Agreement”) with JAK Opportunities VI LLC (“JAK”), pursuant to which the Company agreed to (i) repurchase from JAK senior convertible notes originally issued under two Securities Purchase Agreements dated August 7, 2024 and April 1, 2025, respectively, having an aggregate outstanding principal and accrued interest amount of approximately $3,625,000 as of the date of the Repurchase Agreement, for an aggregate repurchase price of $4,531,250, (ii) repurchase from JAK certain warrants to purchase ordinary shares of the Company for an aggregate repurchase price of $600,000, and (iii) pay JAK a forbearance payment of $2,250,000 in consideration of JAK’s agreement to forbear from, and upon full payment to irrevocably waive, its rights to require additional note closings under the existing Securities Purchase Agreements. The aggregate payment obligation of $7,381,250 is payable in installments through November 1, 2027, as set forth in a schedule attached to the Repurchase Agreement. During the payment period, JAK has agreed to forbear from converting the notes or exercising the warrants, subject to termination of the forbearance upon the occurrence of any event of default or uncured breach by the Company. The Repurchase Agreement also provides that proceeds from any subsequent equity or debt placements by the Company (subject to specified exclusions) must be applied as mandatory prepayments toward the aggregate payment obligation, with 66% of such proceeds first applied evenly to the note repurchase price, warrant repurchase price, and forbearance payment. In the event of a Default under the Agreement, all payments made by the Company to JAK prior to such Default would be permanently forfeited and retained by JAK as liquidated damages and compensation for the use of funds. Upon such Default, the original outstanding Convertible Notes, Warrants, and all related rights (including conversion and exercise rights) would be fully reinstated as if the Agreement had never been entered into. A copy of the Repurchase Agreement was filed as Exhibit 10.1 to the Company’s current report on 6-K dated June 16, 2026 and is incorporated by reference herein.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of Convertible Notes with JAK Opportunities VI LLC</w:t>
      </w:r>
    </w:p>
    <w:p>
      <w:pPr>
        <w:spacing w:after="0" w:line="22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On August 11, 2026, NewGenIvf completed an Amendment and Exchange Agreement (the “Exchange Agreement”) with JAK Opportunities VI LLC (“JAK”). Under the Exchange Agreement, the Repurchase Agreement with JAK was terminated and the remaining outstanding Convertible Notes, and Warrants were exchanged for a new senior convertible note in the aggregate principal amount of $7,105,468.75 (“New Note”). The restructuring eliminates, among other terms, the mandatory requirement that a significant percentage of proceeds from new capital raises be applied to prepay the outstanding Convertible Notes and Warrants which was set out in the Forbearance Agreement. A copy of the Exchange Agreement and the New Note were filed as Exhibits 10.1, and 10.2 to the Company’s current report on 6-K dated August 17, 2026 and are incorporated by reference herein.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Best Efforts Offering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28, 2026, the Company entered into a placement agent agreement (the “Placement Agent Agreement”) with Aegis Capital Corp. (“Aegis”), pursuant to which Aegis acted as the exclusive placement agent for a public offering made on a reasonable best efforts basis (the “Offering”). On September 30, 2026, the Company closed the Offering, and issued an aggregate of 17,857,143 Class A Ordinary Shares (equivalent to 558,03</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Class A Ordinary Shares adjusted for Reverse Stock Split) or pre-funded warrants to purchase Class A Ordinary Shares in lieu thereof (the “Pre-Funded Warrants”), comprising 125,000 Class A Ordinary Shares (equivalent to 3,906 Class A Ordinary Shares adjusted for Reverse Stock Split) and Pre-Funded Warrants to purchase up to 17,732,143 Class A Ordinary Shares (equivalent to 554,1</w:t>
      </w:r>
      <w:r>
        <w:rPr>
          <w:rFonts w:ascii="Times New Roman" w:cs="Times New Roman" w:eastAsia="Times New Roman" w:hAnsi="Times New Roman"/>
          <w:sz w:val="18"/>
          <w:szCs w:val="18"/>
          <w:u w:val="single" w:color="auto"/>
          <w:color w:val="auto"/>
        </w:rPr>
        <w:t>30</w:t>
      </w:r>
      <w:r>
        <w:rPr>
          <w:rFonts w:ascii="Times New Roman" w:cs="Times New Roman" w:eastAsia="Times New Roman" w:hAnsi="Times New Roman"/>
          <w:sz w:val="18"/>
          <w:szCs w:val="18"/>
          <w:color w:val="auto"/>
        </w:rPr>
        <w:t xml:space="preserve"> Class A Ordinary Shares adjusted for Reverse Stock Split). A copy of the Placement Agent Agreement was filed as Exhibit 1.1 to the Company’s current report on 6-K dated September 30, 2026 and is incorporated by reference herein.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risk. Before you decide to buy our securities, you should carefully consider the risks described in this prospectus, in our annual report on Form 20-F for the year ended December 31, 2025, which is incorporated herein by reference, as well as the risks that are described in the applicable prospectus supplement and in other documents incorporated by reference into this prospectus. If any of these risks actually occurs, our business, financial condition and results of operations could suffer, and you may lose all or part of your investment.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Please see “Where You Can Find More Information About Us” and “Incorporation of Documents by Reference” for information on where you can find the documents we have filed with or furnished to the SEC and which are incorporated into this prospectus by reference.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use the net proceeds from the sale of the securities we offer as set forth in the applicable prospectus supplement(s).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specific allocations of the proceeds we receive from the sale of our securities will be described in the applicable prospectus supplement(s).</w:t>
      </w:r>
    </w:p>
    <w:p>
      <w:pPr>
        <w:spacing w:after="0" w:line="200" w:lineRule="exact"/>
        <w:rPr>
          <w:sz w:val="20"/>
          <w:szCs w:val="20"/>
          <w:color w:val="auto"/>
        </w:rPr>
      </w:pPr>
    </w:p>
    <w:p>
      <w:pPr>
        <w:spacing w:after="0" w:line="25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980" w:top="900" w:right="6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Class A and Class B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Memorandum and Articles of Association authorize the issuance of an unlimited Class A Ordinary Shares, unlimited Class B Ordinary Shares and unlimited preferred shares with no par value (“Preferred Shares”). As of the date of this prospectus, we have 9,821,197 Class A Ordinary Shares outstanding, 73,067 Class B Ordinary Shares outstanding, and no Preferred Shares outstanding. All of our outstanding Class A Ordinary Shares are validly issued, and fully paid. Our Class A Ordinary Shares and Class B Ordinary Shares are not subject to any preemptive right.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Hei Yue Tina Fong and Wing Fung Alfred Siu control the voting power of all of the outstanding Class B Ordinary Shares. Although Ms. Fong and Mr. Siu control the voting power of all of the outstanding Class B Ordinary Shares, their control over those shares is not permanent and is subject to reduction or elimination at any time or after certain periods as a result of a variety of factors. As further described below, upon any transfer of Class B Ordinary Shares by a holder thereof to any person which is not a Permitted Transferee (as defined in the Memorandum and Articles of Association) of such holder, those shares will automatically and immediately convert into Class A Ordinary Shares. In addition, all Class B Ordinary Shares will automatically convert to Class A Ordinary Shares in other events described below. See “— Optional and Mandatory Conversion.”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holders of our Class A Ordinary Shares and Class B Ordinary Shares are entitled to such dividends as may be declared by its Board of Directors subject to its Memorandum and Articles of Association and applicable law. No dividend may be declared and paid unless the Board of Directors determine that, immediately after the payment, the value of the Company assets will exceed its liabilities and the Company will be able to pay its debts as and when they fall due. Holders of Class A ordinary shares and Class B ordinary shares will be entitled to the same amount of dividends, if declared.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have the right to receive notice of, attend, speak and vote at general meetings of the shareholders. In respect of all matters upon which holders of our shares are entitled to vote, each Class A Ordinary Share are entitled to one (1) vote and each Class B Ordinary Share are entitled to one hundred (100) votes. At any meeting of shareholders a resolution put to the vote of the meeting shall be decided by way of a poll and not by way of a show of hands.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meeting of the shareholders is duly constituted if, at the commencement of the meeting, there are present in person or by proxy not less than 50 per cent of the votes of the shares entitled to vote on resolutions of the shareholders to be considered at the meeting. As a BVI business company, the Company is not obliged by the BVI Act to call shareholders’ annual general meetings. The Memorandum and Articles of Association provide that the Company may (but is not obliged to) in each calendar year hold a general meeting as its annual general meeting in which case the Company will specify the meeting as such in the notices calling it, and the annual general meeting will be held at such time and place as may be determined by its directors. Each general meeting, other than an annual general meeting, shall be an extraordinary general meeting.</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Shareholders’ annual general meetings and any other general meetings of the Company’s shareholders may be convened by any director or, upon a requisition of shareholders holding at the date of deposit of the requisition not less than 30 percent of the votes attaching to the issued and outstanding shares entitled to vote at general meetings in respect of the matter for which the meeting is requested, in which case the directors are obliged to convene such meeting and to put the resolutions so requisitioned to a vote at such meeting; however, the Memorandum and Articles of Association do not provide its shareholders with any right to put any proposals before any annual general meetings or any extraordinary general meetings not called by such shareholders. Advance notice of at least ten (10) days and not more than sixty (60) days is required for the convening of the Company’s annual general meeting and other general meetings unless such notice is waived in accordance with its articles of association.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resolution to be passed at a meeting by the shareholders requires the affirmative vote of a simple majority of the votes attaching to the shares cast by those shareholders entitled to vote who are present in person or by proxy at a general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any applicable adjustment pursuant to the Memorandum and Articles of Association, 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permitted by the BVI Act and the Memorandum and Articles of Association, the Company may be voluntarily liquidated under Part XII of the BVI Act by resolution of directors and resolution of shareholders if the Company’s assets exceed the Company’s liabilities and the Company is able to pay the Company’s debts as they fall due. The Company may also be wound up in circumstances where the Company is insolvent in accordance with the terms of the BVI Insolvency Act (As Revised).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is wound up and the assets available for distribution among the Company’s shareholders are more than sufficient to repay all amounts paid to the Company on account of the issue of shares immediately prior to the winding up, the excess shall be distributable pari passu among those shareholders in proportion to the amount paid up immediately prior to the winding up on the shares held by them, respectively. If the Company is wound up and the assets available for distribution among the shareholders as such are insufficient to repay the whole of the amounts paid to the Company on account of the issue of shares, those assets shall be distributed so that, to the greatest extent possible, the losses shall be borne by the shareholders in proportion to the amounts paid up immediately prior to the winding up on the shares held by them, respectively. If the Company is wound up, the liquidator appointed by the Company may, in accordance with the BVI Act, divide among the Company’s shareholders in specie or kind the whole or any part of the Company’s assets (whether they shall consist of property of the same kind or not) and may, for such purpose, set such value as the liquidator deems fair upon any property to be divided and may determine how such division shall be carried out as between the shareholders or different classes of shareholder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Repurchase and Surrender of Ordinary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issue shares on terms that such shares are subject to redemption, at the Company’s option or at the option of the holders thereof, on such terms and in such manner as may be determined, before the issue of such shares, by the Board of Directors. The Company may also repurchase any of its shares provided that the Company may not purchase, redeem or otherwise acquire its own shares without the consent of the shareholder whose Shares are to be purchased, redeemed or otherwise acquired unless the Company is permitted or required by the Act or any other provision in the Memorandum or Articles to purchase, redeem or otherwise acquire the Shares without such consent.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Variations of Rights of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at any time the Company’s share are divided into different classes or series of shares, the rights attached to any class or series of shares (unless otherwise provided by the terms of issue of the shares of that class or series), whether or not the Company is being wound-up, may be varied by a resolution passed at a meeting by the holders of more than fifty percent of the issued shares of that class that have voted (and are entitled to vote thereon) in relation to any such resolution, unless otherwise provided by the terms of issue of such class.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our Class A Ordinary Shares and Class B Ordinary Shares have no general right under BVI law to inspect or obtain copies of the Company’s list of shareholders or its corporate records. However, the Company will provide its shareholders with annual audited financial statements. See “Where You Can Find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Additional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Memorandum and Articles of Association authorize the Board of Directors to issue additional Class A or Class B Ordinary Shares from time to time as the Board of Directors shall determine, to the extent of available authorized but unissued shares. The Memorandum and Articles of Association also authorize the Board of Directors to establish from time to time one or more series of preferred shares and to determine, with respect to any series of preferred shares, the terms and rights of that series, including:</w:t>
      </w:r>
    </w:p>
    <w:p>
      <w:pPr>
        <w:spacing w:after="0" w:line="180"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may issue preferred shares without action by its shareholders to the extent authorized but unissued. Issuance of these shares may dilute the voting power of holders of Class A Ordinary Shares and Class B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provisions of the Memorandum and Articles of Association may discourage, delay or prevent a change of control of the Company or management that shareholders may consider favorable, including (i) provisions that authorize the Board of Directors to issue preferred shares in one or more series and to designate the price, rights, preferences, privileges and restrictions of such preferred shares without any further vote or action by its shareholders; and (ii) provisions providing that directors may not be removed by the shareholders except for cause.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Preferred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applicable law and the Memorandum and Articles of Association, the Board of Directors may issue Preferred Shares with such preferred rights as they shall determine. The rights, privileges, restrictions and conditions attaching to the Preferred Shares shall be stated in the Memorandum and Articles of Association, which shall be amended accordingly prior to the issue of such Preferred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or series of preferred shares will be described in the related prospectus supplement. This description will include, where applicable, a description of:</w:t>
      </w:r>
    </w:p>
    <w:p>
      <w:pPr>
        <w:spacing w:after="0" w:line="162"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nominal value of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we are offering;</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preferred share, if any;</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per preferred share (or if applicable, the calculation formula of the issue price per preferred share);</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preferential subscription rights will be issued to existing shareholders;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preferred share, dividend period and payment dates and method of calculation for dividends;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15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shares as to dividend rights (preferred dividend if any) and rights if we liquidate, dissolve or wind up the Company;</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5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shares on any securities exchange or market;</w:t>
      </w:r>
    </w:p>
    <w:p>
      <w:pPr>
        <w:spacing w:after="0" w:line="15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will be convertible into our ordinary shares (including in the form of ADSs) or preferred shares of another category, and, if applicable, conditions of an automatic conversion into ordinary shares (including in the form of ADSs), if any, the conversion period, the conversion price, or how such price will be calculated, and under what circumstances it may be adjusted;</w:t>
      </w:r>
    </w:p>
    <w:p>
      <w:pPr>
        <w:spacing w:after="0" w:line="10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restrictions on transfer, sale or assignment, if any;</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shares will be represented by American Depositary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British Virgin Islands or United States federal income tax considerations applicable to the preferred shares;</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shares ranking senior to or on a parity with the series of preferred shares being issued as to dividend rights and rights if we liquidate, dissolve or wind up our affairs;</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attached to the preferred shares regarding the corporate governance of our company, which may include, for example representation rights to the board of directors; and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shares.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may cause the Company to issue from time to time, out of the authorized shares of the Company (other than the authorized but unissued ordinary shares), series of preferred shares in their absolute discretion and without approval of the shareholders; provided, however, before any preferred shares of any such series are issued, our board of directors shall by resolution of directors determine, with respect to any series of preferred shares, the terms and rights of that series.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When we issue preferred shares under this prospectus and the applicable prospectus supplement, the shares will be fully paid and non-assessable and will not have, or be subject to, any preemptive or similar rights.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issuance of preferred shares could adversely affect the voting power of holders of ordinary shares and ADSs and reduce the likelihood that holders of ordinary shares and ADSs will receive dividend payments and payments upon liquidation. The issuance could have the effect of decreasing the market price of our ADSs. The issuance of preferred shares also could have the effect of delaying, deterring or preventing a change in control of our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ordinary shares, including ordinary shares represented by ADSs. Warrants may be issued independently or together with any other securities and may be attached to, or separate from, such securities.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any warrants in respect of which this prospectus is being delivered:</w:t>
      </w:r>
    </w:p>
    <w:p>
      <w:pPr>
        <w:spacing w:after="0" w:line="225"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 and exercised;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such warrants will be payable;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purchasable upon exercise of such warrants;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British Virgin Islands or United States federal income tax consequences;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Supplements to Warrant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debt securities which may or may not be converted into our ordinary shares. We may issue the debt securities independently or together with any underlying securities, and debt securities may be attached or separate from the underlying securities. In connection with the issuance of any debt securities, we do not intend to issue them pursuant to a trust indenture upon reliance of Section 304(a)(8) of the Trust Indenture Act and Rule 4a-1 promulgated thereunder.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description is a summary of selected provisions relating to the debt securities that we may issue. The summary is not complete. When debt securities are offered in the future, a prospectus supplement, information incorporated by reference, or a free writing prospectus, as applicable, will explain the particular terms of those securities and the extent to which these general provisions may apply. The specific terms of the debt securities as described in a prospectus supplement, information incorporated by reference, or free writing prospectus will supplement and, if applicable, may modify or replace the general terms described in this section.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summary and any description of debt securities in the applicable prospectus supplement, information incorporated by reference, or free writing prospectus is subject to and is qualified in its entirety by reference to all the provisions of any specific debt securities document or agreement. We will file each of these documents, as applicable, with the SEC and incorporate them by reference as an exhibit to the registration statement of which this prospectus is a part on or before the time we issue a series of warrants. See “Where You Can Find More Information About Us” and “Incorporation of Documents by Reference” below for information on how to obtain a copy of a debt securities document when it is filed.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 we refer to a series of debt securities, we mean all debt securities issued as part of the same series under the applicable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information incorporated by reference, or free writing prospectus, may describe the terms of any debt securities that we may offer, including, but not limited to, the following:</w:t>
      </w:r>
    </w:p>
    <w:p>
      <w:pPr>
        <w:spacing w:after="0" w:line="16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the debt securities;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or amounts of the debt securities will be issued and interest rate;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at which the debt securities may be converted;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convert the debt securities will commence and the date on which the right will expire;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debt securities that may be converted at any one time;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federal income tax consideration;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terms of the payoff of the debt securities;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indenture agent, if any;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and conditions relating to the conversion of the debt securities;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terms, procedure and limitation relating to the exchange or conversion of the debt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issue the debt securities in registered form or bearer form. Debt securities issued in registered form, i.e., book-entry form, will be represented by a global security registered in the name of a depository, which will be the holder of all the debt securities represented by the global security. Those investors who own beneficial interests in global debt securities will do so through participants in the depository’s system, and the rights of these indirect owners will be governed solely by the applicable procedures of the depository and its participants. In addition, we may issue debt securities in non-global form, i.e., bearer form. If any debt securities are issued in non-global form, debt securities certificates may be exchanged for new debt securities certificates of different denominations, and holders may exchange, transfer, or convert their debt securities at the debt securities agent’s office or any other office indicated in the applicable prospectus supplement, information incorporated by reference or free writing prospectus.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Prior to the conversion of their debt securities, holders of debt securities convertible for ordinary shares will not have any rights of holders of ordinary shares, and will not be entitled to dividend payments, if any, or voting rights of the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Debt Securities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debt security may entitle the holder to purchase, in exchange for the extinguishment of debt, an amount of securities at a conversion price that will be stated in the debt security. Debt securities may be converted at any time up to the close of business on the expiration date set forth in the terms of such debt security. After the close of business on the expiration date, debt securities not exercised will be paid in accordance with their terms.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Debt securities may be converted as set forth in the applicable offering material. Upon receipt of a notice of conversion properly completed and duly executed at the corporate trust office of the indenture agent, if any, or to us, we will forward, as soon as practicable, the securities purchasable upon such exercise. If less than all of the debt security represented by such security is converted, a new debt security will be issued for the remaining debt security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subscription rights to purchase ordinary shares, including ordinary shares represented by ADSs. Subscription rights may be issued independently or together with any other offered security and may or may not be transferable by the person purchasing or receiving the subscription rights. In connection with any subscription rights offering to our shareholders, we may enter into a standby underwriting arrangement with one or more underwriters pursuant to which such underwriters will purchase any offered securities remaining unsubscribed for after such subscription rights offering. In connection with a subscription rights offering to our shareholders, we will distribute certificates evidencing the subscription rights and a prospectus supplement to our shareholders on the record date that we set for receiving subscription rights in such subscription rights offering.</w:t>
      </w:r>
    </w:p>
    <w:p>
      <w:pPr>
        <w:spacing w:after="0" w:line="187"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subscription rights in respect of which this prospectus is being delivered:</w:t>
      </w:r>
    </w:p>
    <w:p>
      <w:pPr>
        <w:spacing w:after="0" w:line="16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for which such subscription rights are exercisable;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subscription rights;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subscription rights issued to each shareholder;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British Virgin Islands or United States federal income tax considerations applicable to the issuance or exercise of such subscription rights;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shall commence, and the date on which such rights shall expire (subject to any extension);</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purchase arrangement that we may enter into in connection with the subscription rights offering;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terms, procedures and limitations relating to the exchange and exercise of such subscription rights.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subscription right will entitle the holder of the subscription right to purchase for cash such amount of securities at such exercise price as shall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ordinary shares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will describe:</w:t>
      </w:r>
    </w:p>
    <w:p>
      <w:pPr>
        <w:spacing w:after="0" w:line="225" w:lineRule="exact"/>
        <w:rPr>
          <w:sz w:val="20"/>
          <w:szCs w:val="20"/>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unit agreement under which the units will be issued;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will describe:</w:t>
      </w:r>
    </w:p>
    <w:p>
      <w:pPr>
        <w:spacing w:after="0" w:line="225" w:lineRule="exact"/>
        <w:rPr>
          <w:sz w:val="20"/>
          <w:szCs w:val="20"/>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unit agreement under which the units will be issued;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the British Virgin Islands with limited liability. We are incorporated in the British Virgin Islands because of certain benefits associated with being a British Virgin Islands company, such as political and economic stability, an effective judicial system, a favorable tax system, the absence of exchange control or currency restrictions and the availability of professional and support services. However, the British Virgin Islands has a less developed body of securities laws as compared to the United States and provides protections for investors to a lesser extent. In addition, British Virgin Islands companies may not have standing to sue before the federal courts of the United States.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Substantially all of our assets are located outside the United States. In addition, a majority of our directors and officers are nationals and/or residents of countries other than the United States, and all or a substantial portion of such persons’ assets are located outside the United States.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appointed Cogency Global Inc.as our agent to receive service of process with respect to any action brought against us in the United States District Court for districts in the State of New York under the federal securities laws of the United States or of any State of the United States or any action brought against us in the Supreme Court of the State of New York under the securities laws of the State of New York.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British Virgin Islands courts are unlikely:</w:t>
      </w:r>
    </w:p>
    <w:p>
      <w:pPr>
        <w:spacing w:after="0" w:line="225" w:lineRule="exact"/>
        <w:rPr>
          <w:sz w:val="20"/>
          <w:szCs w:val="20"/>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recognize or enforce against the Company, judgments of courts of the U.S. based on certain civil liability provisions of U.S. securities laws where that liability is in respect of penalties, taxes, fines or similar fiscal or revenue obligations of the company;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impose liabilities against the Company, in original actions brought in the British Virgin Islands, based on certain civil liability provisions of U.S. securities laws that are penal in nature.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statutory enforcement in the British Virgin Islands of judgments obtained in the U.S., however, the courts of the British Virgin Islands will in certain circumstances recognize such a foreign judgment and treat it as a cause of action in itself which may be sued upon as a debt at common law so that no retrial of the issues would be necessary, provided that:</w:t>
      </w:r>
    </w:p>
    <w:p>
      <w:pPr>
        <w:spacing w:after="0" w:line="176" w:lineRule="exact"/>
        <w:rPr>
          <w:sz w:val="20"/>
          <w:szCs w:val="20"/>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court issuing the judgment had jurisdiction in the matter and the company either submitted to such jurisdiction or was resident or carrying on business within such jurisdiction and was duly served with process;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final and for a liquidated sum;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given by the U.S. court was not in respect of penalties, taxes, fines or similar fiscal or revenue obligations of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obtaining judgment there was no fraud on the part of the person in whose favor judgment was given or on the part of the court;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or enforcement of the judgment in the British Virgin Islands would not be contrary to public policy;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proceedings pursuant to which judgment was obtained were not contrary to natural justice.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appropriate circumstances, a British Virgin Islands Court may give effect in the British Virgin Islands to other kinds of final foreign judgments such as declaratory orders, orders for performance of contracts and injunctions.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Certain income tax considerations relating to the purchase, ownership and disposition of any of the securities offered by this prospectus will be set forth in the applicable prospectus supplement relating to the offering of those securities.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sell the securities described in this prospectus from time to time in one or more transactions, including without limitation:</w:t>
      </w:r>
    </w:p>
    <w:p>
      <w:pPr>
        <w:spacing w:after="0" w:line="225"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exchange on which the securities offered by this prospectus are listed or any automatic quotation system through which the securities may be quoted;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in negotiated sales or competitively bid transactions;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sell the securities offered by this prospectus at:</w:t>
      </w:r>
    </w:p>
    <w:p>
      <w:pPr>
        <w:spacing w:after="0" w:line="22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solicit offers to purchase the securities directly from the public from time to time. We may also designate agents from time to time to solicit offers to purchase securities from the public on our or their behalf. The prospectus supplement relating to any particular offering of securities will name any agents designated to solicit offers, and will include information about any commissions to be paid to the agents, in that offering. Agents may be deemed to be “underwriters” as that term is defined in the Securities Act. From time to time, we may sell securities to one or more dealers as principals. The dealers, who may be deemed to be “underwriters” as that term is defined in the Securities Act, may then resell those securities to the public. We may sell securities from time to time to one or more underwriters, who would purchase the securities as principal for resale to the public, either on a firm-commitment or best-efforts basis. If we sell securities to underwriters, we will execute an underwriting agreement with them at the time of sale and will name them in the applicable prospectus supplement. In connection with those sales, underwriters may be deemed to have received compensation from us in the form of underwriting discounts or commissions and 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Underwriters, dealers, agents and other persons may be entitled, under agreements that they may enter into with us, to indemnification by us against civil liabilities, including liabilities under the Securities Act, or to contribution with respect to payments which they may be required to make.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will describe the terms of the offering of the securities, including the following:</w:t>
      </w:r>
    </w:p>
    <w:p>
      <w:pPr>
        <w:spacing w:after="0" w:line="225"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underwriters, dealers and agents, as well as their associates, may be customers of or lenders to, and may engage in transactions with and perform services for, NewGenIvf and its subsidiaries. In addition, we may offer securities to or through our affiliates, as underwriters, dealers or agents. Our affiliates may also offer the securities in other markets through one or more selling agents, including one another. If so indicated in an applicable prospectus supplement, we will authorize dealers or other persons acting as our agent to solicit offers by some institutions to purchase securities from us pursuant to contracts providing for payment and delivery on a future date. Institutions with which these contracts may be made include commercial and savings banks, insurance companies, pension funds, investment companies, educational and charitable institutions and others.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 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legal matters as to U.S. federal securities law concerning this offering will be passed upon for us by Han Kun Law Offices LLP. Certain legal matters as to BVI law will be passed upon for us by Ogier. Han Kun Law Offices LLP may rely upon Ogier with respect to matters governed by BVI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statements of NewGenIvf Limited as of and for the years ended December 31, 2025, 2024, and 2023 included in this prospectus have been so included in reliance on the report of J &amp; S Associate PLT, an independent registered public accounting firm with its registered address at B-11-14, Megan Avenue II 12, Jalan Yap Kwan Seng, 50450, Kuala Lumpur, Malaysia, given on the authority of said firm as an expert in auditing and accounting.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currently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 Our SEC filings may also be obtained over the Internet at the SEC’s website at www.sec.gov.</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corporate website is www.newgenivf.com. The information contained on our websites is not a part of this prospectus. Our agent for service of process in the United States is Cogency Global Inc., located at 122 East 42nd Street, 18th Floor, New York, NY 10168.</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 this prospectus, you should rely on the information contained in the document that was filed later.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following documents:</w:t>
      </w:r>
    </w:p>
    <w:p>
      <w:pPr>
        <w:spacing w:after="0" w:line="225"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98">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on March 31, 2026;</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F-1 filed on </w:t>
      </w:r>
      <w:hyperlink r:id="rId99">
        <w:r>
          <w:rPr>
            <w:rFonts w:ascii="Times New Roman" w:cs="Times New Roman" w:eastAsia="Times New Roman" w:hAnsi="Times New Roman"/>
            <w:sz w:val="18"/>
            <w:szCs w:val="18"/>
            <w:u w:val="single" w:color="auto"/>
            <w:color w:val="0000EE"/>
          </w:rPr>
          <w:t>September 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which includes the dual dated audit report for the fiscal year ended December 31, 2025 taking into account the Reverse Stock Splits in July 2026 and September 2026;</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9"/>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Reports on Form 6-K filed with the SEC on </w:t>
      </w:r>
      <w:hyperlink r:id="rId100">
        <w:r>
          <w:rPr>
            <w:rFonts w:ascii="Times New Roman" w:cs="Times New Roman" w:eastAsia="Times New Roman" w:hAnsi="Times New Roman"/>
            <w:sz w:val="18"/>
            <w:szCs w:val="18"/>
            <w:u w:val="single" w:color="auto"/>
            <w:color w:val="0000EE"/>
          </w:rPr>
          <w:t>May 21, 2026</w:t>
        </w:r>
      </w:hyperlink>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u w:val="single" w:color="auto"/>
            <w:color w:val="0000EE"/>
          </w:rPr>
          <w:t>May 28, 2026</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EE"/>
          </w:rPr>
          <w:t>June 4, 2026</w:t>
        </w:r>
      </w:hyperlink>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u w:val="single" w:color="auto"/>
            <w:color w:val="0000EE"/>
          </w:rPr>
          <w:t>June 11, 2026</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EE"/>
          </w:rPr>
          <w:t>June 16, 2026</w:t>
        </w:r>
      </w:hyperlink>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u w:val="single" w:color="auto"/>
            <w:color w:val="0000EE"/>
          </w:rPr>
          <w:t>June 18, 2026</w:t>
        </w:r>
      </w:hyperlink>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u w:val="single" w:color="auto"/>
            <w:color w:val="0000EE"/>
          </w:rPr>
          <w:t>June 22,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1,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6,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27,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30,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31,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17,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18,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30,</w:t>
        </w:r>
      </w:hyperlink>
      <w:r>
        <w:rPr>
          <w:rFonts w:ascii="Times New Roman" w:cs="Times New Roman" w:eastAsia="Times New Roman" w:hAnsi="Times New Roman"/>
          <w:sz w:val="18"/>
          <w:szCs w:val="18"/>
          <w:color w:val="0000EE"/>
        </w:rPr>
        <w:t xml:space="preserve"> </w:t>
      </w:r>
      <w:hyperlink r:id="rId106">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7">
        <w:r>
          <w:rPr>
            <w:rFonts w:ascii="Times New Roman" w:cs="Times New Roman" w:eastAsia="Times New Roman" w:hAnsi="Times New Roman"/>
            <w:sz w:val="18"/>
            <w:szCs w:val="18"/>
            <w:u w:val="single" w:color="auto"/>
            <w:color w:val="0000EE"/>
          </w:rPr>
          <w:t xml:space="preserve">October 7, 2026 </w:t>
        </w:r>
      </w:hyperlink>
      <w:hyperlink r:id="rId106">
        <w:r>
          <w:rPr>
            <w:rFonts w:ascii="Times New Roman" w:cs="Times New Roman" w:eastAsia="Times New Roman" w:hAnsi="Times New Roman"/>
            <w:sz w:val="18"/>
            <w:szCs w:val="18"/>
            <w:color w:val="000000"/>
          </w:rPr>
          <w:t>(one announced the four-to-one reverse share split and one announced the unaudited financial results for the six</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months ended June 30, 2026), </w:t>
      </w:r>
      <w:hyperlink r:id="rId108">
        <w:r>
          <w:rPr>
            <w:rFonts w:ascii="Times New Roman" w:cs="Times New Roman" w:eastAsia="Times New Roman" w:hAnsi="Times New Roman"/>
            <w:sz w:val="18"/>
            <w:szCs w:val="18"/>
            <w:u w:val="single" w:color="auto"/>
            <w:color w:val="0000EE"/>
          </w:rPr>
          <w:t>October 21, 2026</w:t>
        </w:r>
      </w:hyperlink>
      <w:r>
        <w:rPr>
          <w:rFonts w:ascii="Times New Roman" w:cs="Times New Roman" w:eastAsia="Times New Roman" w:hAnsi="Times New Roman"/>
          <w:sz w:val="18"/>
          <w:szCs w:val="18"/>
          <w:color w:val="000000"/>
        </w:rPr>
        <w:t xml:space="preserve">, and </w:t>
      </w:r>
      <w:hyperlink r:id="rId109">
        <w:r>
          <w:rPr>
            <w:rFonts w:ascii="Times New Roman" w:cs="Times New Roman" w:eastAsia="Times New Roman" w:hAnsi="Times New Roman"/>
            <w:sz w:val="18"/>
            <w:szCs w:val="18"/>
            <w:u w:val="single" w:color="auto"/>
            <w:color w:val="0000EE"/>
          </w:rPr>
          <w:t>October 27, 2026</w:t>
        </w:r>
      </w:hyperlink>
      <w:r>
        <w:rPr>
          <w:rFonts w:ascii="Times New Roman" w:cs="Times New Roman" w:eastAsia="Times New Roman" w:hAnsi="Times New Roman"/>
          <w:sz w:val="18"/>
          <w:szCs w:val="18"/>
          <w:color w:val="000000"/>
        </w:rPr>
        <w:t>; and</w:t>
      </w:r>
    </w:p>
    <w:p>
      <w:pPr>
        <w:spacing w:after="0" w:line="206" w:lineRule="exact"/>
        <w:rPr>
          <w:rFonts w:ascii="Times New Roman" w:cs="Times New Roman" w:eastAsia="Times New Roman" w:hAnsi="Times New Roman"/>
          <w:sz w:val="18"/>
          <w:szCs w:val="18"/>
          <w:color w:val="000000"/>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w:t>
      </w:r>
      <w:hyperlink r:id="rId110">
        <w:r>
          <w:rPr>
            <w:rFonts w:ascii="Times New Roman" w:cs="Times New Roman" w:eastAsia="Times New Roman" w:hAnsi="Times New Roman"/>
            <w:sz w:val="18"/>
            <w:szCs w:val="18"/>
            <w:u w:val="single" w:color="auto"/>
            <w:color w:val="0000EE"/>
          </w:rPr>
          <w:t>Exhibit 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98">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31, 2026, and including any</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20-F filed with the SEC after the date of this prospectus and prior to the termination of the offering of the securities offered by this prospectus; and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reports on Form 6-K that we furnish to the SEC after the date of this prospectus that are identified in such reports as being incorporated by reference in this prospectus.</w:t>
      </w:r>
    </w:p>
    <w:p>
      <w:pPr>
        <w:spacing w:after="0" w:line="189" w:lineRule="exact"/>
        <w:rPr>
          <w:rFonts w:ascii="Times New Roman" w:cs="Times New Roman" w:eastAsia="Times New Roman" w:hAnsi="Times New Roman"/>
          <w:sz w:val="18"/>
          <w:szCs w:val="18"/>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annual report for the fiscal year ended December 31, 2025 contains a description of our business and audited consolidated financial statements with a report by our independent auditor. The consolidated financial statements are prepared and presented in accordance with U.S. GAAP.</w:t>
      </w:r>
    </w:p>
    <w:p>
      <w:pPr>
        <w:spacing w:after="0" w:line="162"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NewGenIvf Group Limited</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36/39-36/40, 13th Floor, PS Tower</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Sukhumvit 21 Road (Asoke)</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Khlong Toei Nuea Sub-district</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Watthana District, Bangkok 10110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Thailand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+1 (212) 537-4406</w:t>
      </w:r>
    </w:p>
    <w:p>
      <w:pPr>
        <w:spacing w:after="0" w:line="207" w:lineRule="exact"/>
        <w:rPr>
          <w:rFonts w:ascii="Times New Roman" w:cs="Times New Roman" w:eastAsia="Times New Roman" w:hAnsi="Times New Roman"/>
          <w:sz w:val="18"/>
          <w:szCs w:val="18"/>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British Virgin Islands law does not limit the extent to which a company’s memorandum and articles of association may provide for indemnification of officers and directors, except to the extent any such provision may be held by the British Virgin Islands courts to be contrary to public policy, such as to provide indemnification against willful default, civil fraud or the consequences of committing a crime. Under our Memorandum and Articles of Association, we may indemnify our directors, officers and liquidators against all expenses, including legal fees, and against all judgments, fines and amounts paid in settlement and reasonably incurred in connection with civil, criminal, administrative or investigative proceedings to which they are party or are threatened to be made a party by reason of their acting as our director, officer or liquidator. To be entitled to indemnification, these persons must have acted honestly and in good faith with a view to the best interest of the registrant and, in the case of criminal proceedings, they must have had no reasonable cause to believe their conduct was unlawful.</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Exhibit Index beginning on page II-3 of this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229" w:lineRule="exact"/>
        <w:rPr>
          <w:sz w:val="20"/>
          <w:szCs w:val="20"/>
          <w:color w:val="auto"/>
        </w:rPr>
      </w:pPr>
    </w:p>
    <w:p>
      <w:pPr>
        <w:ind w:left="900" w:hanging="244"/>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58" w:lineRule="auto"/>
        <w:tabs>
          <w:tab w:leader="none" w:pos="16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83"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item do not apply if the information required to be included in a post-effective amendment by those paragraphs is contained in periodic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firstLine="980"/>
        <w:spacing w:after="0" w:line="266" w:lineRule="auto"/>
        <w:tabs>
          <w:tab w:leader="none" w:pos="12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24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ind w:firstLine="980"/>
        <w:spacing w:after="0" w:line="254" w:lineRule="auto"/>
        <w:tabs>
          <w:tab w:leader="none" w:pos="12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p>
      <w:pPr>
        <w:spacing w:after="0" w:line="191"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8" w:lineRule="exact"/>
        <w:rPr>
          <w:rFonts w:ascii="Times New Roman" w:cs="Times New Roman" w:eastAsia="Times New Roman" w:hAnsi="Times New Roman"/>
          <w:sz w:val="18"/>
          <w:szCs w:val="18"/>
          <w:color w:val="auto"/>
        </w:rPr>
      </w:pPr>
    </w:p>
    <w:p>
      <w:pPr>
        <w:jc w:val="both"/>
        <w:ind w:left="1620" w:hanging="316"/>
        <w:spacing w:after="0" w:line="253" w:lineRule="auto"/>
        <w:tabs>
          <w:tab w:leader="none" w:pos="16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9"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sz w:val="20"/>
          <w:szCs w:val="20"/>
          <w:color w:val="auto"/>
        </w:rPr>
      </w:pPr>
    </w:p>
    <w:p>
      <w:pPr>
        <w:ind w:left="1300" w:hanging="320"/>
        <w:spacing w:after="0"/>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52"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4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auto"/>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Specimen Class A Ordinary Share Certificate of the Company (incorporated by reference to Exhibit 2.1 of the report on Form 20-F filed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with the Securities and Exchange Commission on April 9, 2024)</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of Designation for Preferred Shares</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Registrant’s Specimen of Warrant Certificate</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101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Form of Indenture</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5"/>
                <w:szCs w:val="15"/>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Debt Security</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 of Subscription Rights Agreement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Subscription Rights Certificate</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Specimen Unit Certificate</w:t>
            </w: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52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Opinion of Ogier regarding the validity of the securities being registered</w:t>
            </w:r>
          </w:p>
        </w:tc>
        <w:tc>
          <w:tcPr>
            <w:tcW w:w="488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5"/>
                <w:szCs w:val="15"/>
                <w:color w:val="auto"/>
              </w:rPr>
            </w:pPr>
          </w:p>
        </w:tc>
        <w:tc>
          <w:tcPr>
            <w:tcW w:w="101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Opinion of Ogier regarding certain British Virgin Islands tax matters (included in Exhibit 5.1)</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5"/>
                <w:szCs w:val="15"/>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Letter from J&amp;S Associate PLT</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5"/>
                <w:szCs w:val="15"/>
                <w:color w:val="auto"/>
              </w:rPr>
            </w:pPr>
          </w:p>
        </w:tc>
        <w:tc>
          <w:tcPr>
            <w:tcW w:w="101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Consent of Ogier (included in Exhibit 5.1)</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shd w:val="clear" w:color="auto" w:fill="CCEEFF"/>
          </w:tcPr>
          <w:p>
            <w:pPr>
              <w:spacing w:after="0"/>
              <w:rPr>
                <w:sz w:val="17"/>
                <w:szCs w:val="17"/>
                <w:color w:val="auto"/>
              </w:rPr>
            </w:pPr>
          </w:p>
        </w:tc>
        <w:tc>
          <w:tcPr>
            <w:tcW w:w="39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Power of attorney (included on signature page hereof)</w:t>
            </w:r>
          </w:p>
        </w:tc>
        <w:tc>
          <w:tcPr>
            <w:tcW w:w="6200" w:type="dxa"/>
            <w:vAlign w:val="bottom"/>
            <w:tcBorders>
              <w:bottom w:val="single" w:sz="8" w:color="CCEEFF"/>
            </w:tcBorders>
            <w:gridSpan w:val="4"/>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5"/>
                <w:szCs w:val="15"/>
                <w:color w:val="auto"/>
              </w:rPr>
            </w:pPr>
          </w:p>
        </w:tc>
        <w:tc>
          <w:tcPr>
            <w:tcW w:w="101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Calculation of Filing Fee Table</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pacing w:after="0" w:line="252"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therewith.</w:t>
      </w:r>
    </w:p>
    <w:p>
      <w:pPr>
        <w:spacing w:after="0" w:line="27" w:lineRule="exact"/>
        <w:rPr>
          <w:sz w:val="20"/>
          <w:szCs w:val="20"/>
          <w:color w:val="auto"/>
        </w:rPr>
      </w:pPr>
    </w:p>
    <w:p>
      <w:pPr>
        <w:ind w:left="5480" w:right="2120" w:hanging="5472"/>
        <w:spacing w:after="0" w:line="761" w:lineRule="auto"/>
        <w:tabs>
          <w:tab w:leader="none" w:pos="4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as an exhibit to a document to be incorporated by reference into this registration statement.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Bangkok, Thailand, on October 27,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NEWGENIVF GROUP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Wing Fung Alfred Siu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Wing Fung Alfred Siu</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does hereby constitute and appoint Mr. Wing Fung Alfred Siu as his or her true and lawful attorneys-in-fact and agents, each with full power of substitution and re-substitution, for him and in his name, place and stead, in any and all capacities, to sign any and all amendments (including post-effective amendments) to this registration statement and sign any registration statement for the same offering covered by this registration statement that is to be effective upon filing pursuant to Rule 462(b) promulgated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might or could do in person, hereby ratifying and confirming all that said attorneys-in-fact and agents, or any of them, or their or his or her substitutes or substitutes, may lawfully do or cause to be done by virtue hereof.</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registration statement has been signed by the following persons on October 27, 2026 in the capacities indicated.</w:t>
      </w:r>
    </w:p>
    <w:p>
      <w:pPr>
        <w:sectPr>
          <w:pgSz w:w="11900" w:h="16838" w:orient="portrait"/>
          <w:cols w:equalWidth="0" w:num="1">
            <w:col w:w="11240"/>
          </w:cols>
          <w:pgMar w:left="320" w:top="900"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1431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36" w:lineRule="exact"/>
        <w:rPr>
          <w:sz w:val="20"/>
          <w:szCs w:val="20"/>
          <w:color w:val="auto"/>
        </w:rPr>
      </w:pPr>
    </w:p>
    <w:p>
      <w:pPr>
        <w:ind w:right="940"/>
        <w:spacing w:after="0" w:line="313" w:lineRule="auto"/>
        <w:rPr>
          <w:sz w:val="20"/>
          <w:szCs w:val="20"/>
          <w:color w:val="auto"/>
        </w:rPr>
      </w:pPr>
      <w:r>
        <w:rPr>
          <w:rFonts w:ascii="Times New Roman" w:cs="Times New Roman" w:eastAsia="Times New Roman" w:hAnsi="Times New Roman"/>
          <w:sz w:val="18"/>
          <w:szCs w:val="18"/>
          <w:color w:val="auto"/>
        </w:rPr>
        <w:t>/s/ Wing Fung Alfred Siu Wing Fung Alfred Siu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21431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Hei Yue Tina Fong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Hei Yue Tina Fong</w:t>
      </w:r>
    </w:p>
    <w:p>
      <w:pPr>
        <w:spacing w:after="0" w:line="225" w:lineRule="exact"/>
        <w:rPr>
          <w:sz w:val="20"/>
          <w:szCs w:val="20"/>
          <w:color w:val="auto"/>
        </w:rPr>
      </w:pPr>
    </w:p>
    <w:p>
      <w:pPr>
        <w:ind w:right="900"/>
        <w:spacing w:after="0" w:line="313" w:lineRule="auto"/>
        <w:rPr>
          <w:sz w:val="20"/>
          <w:szCs w:val="20"/>
          <w:color w:val="auto"/>
        </w:rPr>
      </w:pPr>
      <w:r>
        <w:rPr>
          <w:rFonts w:ascii="Times New Roman" w:cs="Times New Roman" w:eastAsia="Times New Roman" w:hAnsi="Times New Roman"/>
          <w:sz w:val="18"/>
          <w:szCs w:val="18"/>
          <w:color w:val="auto"/>
        </w:rPr>
        <w:t>/s/ Hok Man Jefferson Au Hok Man Jefferson 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21431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15" w:lineRule="exact"/>
        <w:rPr>
          <w:sz w:val="20"/>
          <w:szCs w:val="20"/>
          <w:color w:val="auto"/>
        </w:rPr>
      </w:pPr>
    </w:p>
    <w:p>
      <w:pPr>
        <w:ind w:right="420"/>
        <w:spacing w:after="0" w:line="346" w:lineRule="auto"/>
        <w:rPr>
          <w:sz w:val="20"/>
          <w:szCs w:val="20"/>
          <w:color w:val="auto"/>
        </w:rPr>
      </w:pPr>
      <w:r>
        <w:rPr>
          <w:rFonts w:ascii="Times New Roman" w:cs="Times New Roman" w:eastAsia="Times New Roman" w:hAnsi="Times New Roman"/>
          <w:sz w:val="17"/>
          <w:szCs w:val="17"/>
          <w:color w:val="auto"/>
        </w:rPr>
        <w:t>/s/ Florianna Ann Chi Wan Chan Florianna Ann Chi Wan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21431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Tam Chun 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 Chun Wa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Lee Sze 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Sze Mun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Kong Yiu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Kong Yiu Cheung</w:t>
      </w:r>
    </w:p>
    <w:p>
      <w:pPr>
        <w:spacing w:after="0" w:line="225" w:lineRule="exact"/>
        <w:rPr>
          <w:sz w:val="20"/>
          <w:szCs w:val="20"/>
          <w:color w:val="auto"/>
        </w:rPr>
      </w:pPr>
    </w:p>
    <w:p>
      <w:pPr>
        <w:ind w:right="820"/>
        <w:spacing w:after="0" w:line="346" w:lineRule="auto"/>
        <w:rPr>
          <w:sz w:val="20"/>
          <w:szCs w:val="20"/>
          <w:color w:val="auto"/>
        </w:rPr>
      </w:pPr>
      <w:r>
        <w:rPr>
          <w:rFonts w:ascii="Times New Roman" w:cs="Times New Roman" w:eastAsia="Times New Roman" w:hAnsi="Times New Roman"/>
          <w:sz w:val="17"/>
          <w:szCs w:val="17"/>
          <w:color w:val="auto"/>
        </w:rPr>
        <w:t>/s/ Lam Chun Tung Patrick Lam Chun Tung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214312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Lau Tsz Hin Vincent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 Tsz Hin Vincent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 Fai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 Fai Chung</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right"/>
        <w:ind w:right="370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9206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4920615"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Chief Marketing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29" w:lineRule="exact"/>
        <w:rPr>
          <w:sz w:val="20"/>
          <w:szCs w:val="20"/>
          <w:color w:val="auto"/>
        </w:rPr>
      </w:pPr>
    </w:p>
    <w:p>
      <w:pPr>
        <w:sectPr>
          <w:pgSz w:w="11900" w:h="16838" w:orient="portrait"/>
          <w:cols w:equalWidth="0" w:num="2">
            <w:col w:w="2780" w:space="720"/>
            <w:col w:w="7740"/>
          </w:cols>
          <w:pgMar w:left="320" w:top="900" w:right="3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OF THE REGISTRANT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undersigned, the duly authorized representative in the United States of NewGenIvf Group Limited has signed this registration statement or amendment thereto in New York, United States on October 27,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24942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on behalf of Cogency Global</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Inc.</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OF INDENTURE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NEWGENIVF GROUP LTD</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Issuer</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TRUSTEE]</w:t>
      </w:r>
    </w:p>
    <w:p>
      <w:pPr>
        <w:spacing w:after="0" w:line="2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i w:val="1"/>
          <w:i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155575</wp:posOffset>
            </wp:positionV>
            <wp:extent cx="214312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Dated as of [_____________],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155575</wp:posOffset>
            </wp:positionV>
            <wp:extent cx="214312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Debt Securities Issuable in One or More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900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TABLE OF CONTENTS</w:t>
            </w:r>
          </w:p>
        </w:tc>
        <w:tc>
          <w:tcPr>
            <w:tcW w:w="2240" w:type="dxa"/>
            <w:vAlign w:val="bottom"/>
          </w:tcPr>
          <w:p>
            <w:pPr>
              <w:spacing w:after="0"/>
              <w:rPr>
                <w:sz w:val="20"/>
                <w:szCs w:val="20"/>
                <w:color w:val="auto"/>
              </w:rPr>
            </w:pPr>
          </w:p>
        </w:tc>
      </w:tr>
      <w:tr>
        <w:trPr>
          <w:trHeight w:val="216"/>
        </w:trPr>
        <w:tc>
          <w:tcPr>
            <w:tcW w:w="90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CROSS-REFERENCE TABLE*</w:t>
            </w:r>
          </w:p>
        </w:tc>
        <w:tc>
          <w:tcPr>
            <w:tcW w:w="224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iv</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INDENTURE</w:t>
            </w:r>
          </w:p>
        </w:tc>
        <w:tc>
          <w:tcPr>
            <w:tcW w:w="22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RECITALS</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0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1 DEFINITIONS AND OTHER PROVISIONS OF GENERAL APPLICATION</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1.01. Definitions.</w:t>
            </w:r>
          </w:p>
        </w:tc>
        <w:tc>
          <w:tcPr>
            <w:tcW w:w="22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1.02. Compliance Certificates and Opinions.</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1.03. Form of Documents Delivered to Trustee.</w:t>
            </w:r>
          </w:p>
        </w:tc>
        <w:tc>
          <w:tcPr>
            <w:tcW w:w="22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1.04. Acts of Holders; Record Dates.</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1.05. Notices, Etc., to Trustee and Company.</w:t>
            </w:r>
          </w:p>
        </w:tc>
        <w:tc>
          <w:tcPr>
            <w:tcW w:w="22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1.06. Notice to Holders; Waiver.</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1.07. Effect of Headings and Table of Contents.</w:t>
            </w:r>
          </w:p>
        </w:tc>
        <w:tc>
          <w:tcPr>
            <w:tcW w:w="22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1.08. Successors and Assigns.</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1.09. Severability Clause.</w:t>
            </w:r>
          </w:p>
        </w:tc>
        <w:tc>
          <w:tcPr>
            <w:tcW w:w="22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1.10. Benefits of Indenture.</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1.11. Governing Law.</w:t>
            </w:r>
          </w:p>
        </w:tc>
        <w:tc>
          <w:tcPr>
            <w:tcW w:w="22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1.12. Legal Holidays.</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0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2 SECURITY FORMS</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2.01. Forms Generally.</w:t>
            </w:r>
          </w:p>
        </w:tc>
        <w:tc>
          <w:tcPr>
            <w:tcW w:w="22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2.02. Form of Trustee’s Certificate of Authentication.</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0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3 THE SECURITIES</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3.01. Amount Unlimited; Issuable in Series.</w:t>
            </w:r>
          </w:p>
        </w:tc>
        <w:tc>
          <w:tcPr>
            <w:tcW w:w="22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3.02. Denominations.</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3.03. Execution, Authentication, Delivery and Dating.</w:t>
            </w:r>
          </w:p>
        </w:tc>
        <w:tc>
          <w:tcPr>
            <w:tcW w:w="22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3.04. Temporary Securities.</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3.05. Registration, Registration of Transfer and Exchange.</w:t>
            </w:r>
          </w:p>
        </w:tc>
        <w:tc>
          <w:tcPr>
            <w:tcW w:w="22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3.06. Mutilated, Destroyed, Lost or Stolen Securities.</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3.07. Payment of Interest; Interest Rights Preserved.</w:t>
            </w:r>
          </w:p>
        </w:tc>
        <w:tc>
          <w:tcPr>
            <w:tcW w:w="22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3.08. Persons Deemed Owners.</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3.09. Cancellation.</w:t>
            </w:r>
          </w:p>
        </w:tc>
        <w:tc>
          <w:tcPr>
            <w:tcW w:w="22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3.10. Computation of Interest.</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3.11. Global Securities.</w:t>
            </w:r>
          </w:p>
        </w:tc>
        <w:tc>
          <w:tcPr>
            <w:tcW w:w="22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0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4 SATISFACTION AND DISCHARGE</w:t>
            </w:r>
          </w:p>
        </w:tc>
        <w:tc>
          <w:tcPr>
            <w:tcW w:w="22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4.01. Satisfaction and Discharge of Indenture.</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0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5 REMEDIES</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5.01. Events of Default.</w:t>
            </w:r>
          </w:p>
        </w:tc>
        <w:tc>
          <w:tcPr>
            <w:tcW w:w="22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5.02. Acceleration of Maturity; Rescission and Annulment.</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5.03. Collection of Indebtedness and Suits for Enforcement by Trustee.</w:t>
            </w:r>
          </w:p>
        </w:tc>
        <w:tc>
          <w:tcPr>
            <w:tcW w:w="22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5.04. Trustee May File Proofs of Claim.</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5.05. Trustee May Enforce Claims Without Possession of Securities.</w:t>
            </w:r>
          </w:p>
        </w:tc>
        <w:tc>
          <w:tcPr>
            <w:tcW w:w="22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5.06. Application of Money Collected.</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5.07. Limitation on Suits.</w:t>
            </w:r>
          </w:p>
        </w:tc>
        <w:tc>
          <w:tcPr>
            <w:tcW w:w="22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5.08. Unconditional Right of Holders to Receive Principal, Premium and Interest.</w:t>
            </w:r>
          </w:p>
        </w:tc>
        <w:tc>
          <w:tcPr>
            <w:tcW w:w="224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w w:val="99"/>
              </w:rPr>
              <w:t>12</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5.09. Restoration of Rights and Remedies.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5.10. Rights and Remedies Cumulative.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5.11. Delay or Omission Not Waiver.</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5.12. Control by Holders.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5.13. Waiver of Past Defaults.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5.14. Undertaking for Costs.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9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6 THE TRUSTEE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6.01. Certain Duties and Responsibilities of the Trustee.</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6.02. Notice of Defaults.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6.03. Certain Rights of Trustee.</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6.04. Not Responsible for Recitals or Issuance of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6.05. May Hold Securities.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6.06. Money Held in Trust.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6.07. Compensation and Reimbursement.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6.08. Conflicting Interests.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6.09. Corporate Trustee Required; Eligibility.</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6.10. Resignation and Removal; Appointment of Successor.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6.11. Acceptance of Appointment by Successor.</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6.12. Merger, Conversion, Consolidation or Succession to Business.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6.13. Preferential Collection of Claims Against Company.</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6.14. Appointment of Authenticating Agent.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9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7 HOLDERS’ LISTS AND REPORTS BY TRUSTEE AND COMPANY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7.01. Company to Furnish Trustee Names and Addresses of Holders.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7.02. Preservation of Information; Communications to Holders.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7.03. Reports by Trustee.</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7.04. Reports by Company.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9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8 CONSOLIDATION, MERGER, CONVEYANCE, TRANSFER OR LEASE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8.01. Company May Consolidate, Etc., Only on Certain Terms.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8.02. Successor Person Substituted.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9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9 SUPPLEMENTAL INDENTURES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9.01. Supplemental Indentures Without Consent of Holders.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9.02. Supplemental Indentures with Consent of Holders.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9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10 COVENANTS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10.01. Payment of Principal, Premium and Interest.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10.02. Maintenance of Office or Agency.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10.03. Money for Securities Payments to Be Held in Trust.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8"/>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10.04. Statement by Officers as to Default.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11 REDEMPTION OF SECURITIES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11.01. Applicability of Article.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11.02. Election to Redeem; Notice to Trustee.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11.03. Selection by Trustee of Securities to Be Redeemed; Notice of Redemption.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11.04. Deposit of Redemption Price.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7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12 DEFEASANCE AND COVENANT DEFEASANCE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12.01. Company’s Option to Effect Defeasance or Covenant Defeasance.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12.02. Defeasance and Discharge.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12.03. Covenant Defeasance.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12.04. Conditions to Defeasance or Covenant Defeasance.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7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13 SUBORDINATION OF SECURITIES (APPLICABLE ONLY TO SUBORDINATED SERIES)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13.01. Securities Subordinate to Senior Indebtedness.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13.02. No Payment When Senior Indebtedness in Default.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13.03. Payments to Senior Indebtedness Upon Dissolution, Etc.</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7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14 CONVERSION OR EXCHANGE OF SECURITIES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14.01. Conversion or Exchange.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14.02. Reservation of Shares or Securities.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14.03. No Effect on Non-Convertible Series.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7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15 MISCELLANEOUS PROVISIONS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15.01. Trust Indenture Act Controls.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15.02. Successor.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15.03. Counterparts.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15.04. Waiver of Jury Trial.</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8"/>
        </w:trPr>
        <w:tc>
          <w:tcPr>
            <w:tcW w:w="9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15.05. Force Majeure.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CROSS-REFERENCE 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Reconciliation and tie between the Trust Indenture Act of 1939, as amended (the “Trust Indenture Act”), and the Indenture, dated as of [_______],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20[__], between NewGenIvf Group Ltd and [Name of Trustee], as Trustee:</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740" w:type="dxa"/>
            <w:vAlign w:val="bottom"/>
            <w:tcBorders>
              <w:top w:val="single" w:sz="8" w:color="auto"/>
              <w:left w:val="single" w:sz="8" w:color="auto"/>
              <w:bottom w:val="single" w:sz="8" w:color="auto"/>
              <w:right w:val="single" w:sz="8" w:color="auto"/>
            </w:tcBorders>
          </w:tcPr>
          <w:p>
            <w:pPr>
              <w:ind w:left="2300"/>
              <w:spacing w:after="0"/>
              <w:rPr>
                <w:sz w:val="20"/>
                <w:szCs w:val="20"/>
                <w:color w:val="auto"/>
              </w:rPr>
            </w:pPr>
            <w:r>
              <w:rPr>
                <w:rFonts w:ascii="Times New Roman" w:cs="Times New Roman" w:eastAsia="Times New Roman" w:hAnsi="Times New Roman"/>
                <w:sz w:val="18"/>
                <w:szCs w:val="18"/>
                <w:b w:val="1"/>
                <w:bCs w:val="1"/>
                <w:color w:val="auto"/>
              </w:rPr>
              <w:t>Trust Indenture Act Section</w:t>
            </w:r>
          </w:p>
        </w:tc>
        <w:tc>
          <w:tcPr>
            <w:tcW w:w="4500" w:type="dxa"/>
            <w:vAlign w:val="bottom"/>
            <w:tcBorders>
              <w:top w:val="single" w:sz="8" w:color="auto"/>
              <w:bottom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Indenture Section</w:t>
            </w:r>
          </w:p>
        </w:tc>
      </w:tr>
      <w:tr>
        <w:trPr>
          <w:trHeight w:val="209"/>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310(a)</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6.09</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310(a)(2)</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6.09</w:t>
            </w:r>
          </w:p>
        </w:tc>
      </w:tr>
      <w:tr>
        <w:trPr>
          <w:trHeight w:val="209"/>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310(a)(3)</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209"/>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310(a)(4)</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310(b)</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6.08</w:t>
            </w:r>
          </w:p>
        </w:tc>
      </w:tr>
      <w:tr>
        <w:trPr>
          <w:trHeight w:val="209"/>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311(a)</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6.13</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311(b)</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6.13</w:t>
            </w:r>
          </w:p>
        </w:tc>
      </w:tr>
      <w:tr>
        <w:trPr>
          <w:trHeight w:val="209"/>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312(a)</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7.01, 7.02</w:t>
            </w:r>
          </w:p>
        </w:tc>
      </w:tr>
      <w:tr>
        <w:trPr>
          <w:trHeight w:val="209"/>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312(b)</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7.02</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312(c)</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7.02</w:t>
            </w:r>
          </w:p>
        </w:tc>
      </w:tr>
      <w:tr>
        <w:trPr>
          <w:trHeight w:val="209"/>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313(a)</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7.03</w:t>
            </w:r>
          </w:p>
        </w:tc>
      </w:tr>
      <w:tr>
        <w:trPr>
          <w:trHeight w:val="209"/>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313(b)</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7.03</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313(c)</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6.02, 7.03</w:t>
            </w:r>
          </w:p>
        </w:tc>
      </w:tr>
      <w:tr>
        <w:trPr>
          <w:trHeight w:val="209"/>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313(d)</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7.03</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314(a)</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7.04</w:t>
            </w:r>
          </w:p>
        </w:tc>
      </w:tr>
      <w:tr>
        <w:trPr>
          <w:trHeight w:val="209"/>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314(a)(4)</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10.04</w:t>
            </w:r>
          </w:p>
        </w:tc>
      </w:tr>
      <w:tr>
        <w:trPr>
          <w:trHeight w:val="209"/>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314(b)</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314(c)(1)</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1.02</w:t>
            </w:r>
          </w:p>
        </w:tc>
      </w:tr>
      <w:tr>
        <w:trPr>
          <w:trHeight w:val="209"/>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314(c)(2)</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1.02</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314(c)(3)</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314(d)</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209"/>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314(e)</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1.02</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314(f)</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315(a)</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6.01</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315(b)</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6.02</w:t>
            </w:r>
          </w:p>
        </w:tc>
      </w:tr>
      <w:tr>
        <w:trPr>
          <w:trHeight w:val="209"/>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315(c)</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6.01</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315(d)</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6.01</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315(e)</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5.14</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316(a)(1)(A)</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5.12</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316(a)(1)(B)</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5.13</w:t>
            </w:r>
          </w:p>
        </w:tc>
      </w:tr>
      <w:tr>
        <w:trPr>
          <w:trHeight w:val="209"/>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316(a)(2)</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316(b)</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5.08</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317(a)(1)</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5.03</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317(a)(2)</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5.04</w:t>
            </w:r>
          </w:p>
        </w:tc>
      </w:tr>
      <w:tr>
        <w:trPr>
          <w:trHeight w:val="209"/>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317(b)</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10.03</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318(a)</w:t>
            </w:r>
          </w:p>
        </w:tc>
        <w:tc>
          <w:tcPr>
            <w:tcW w:w="4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14.01</w:t>
            </w:r>
          </w:p>
        </w:tc>
      </w:tr>
    </w:tbl>
    <w:p>
      <w:pPr>
        <w:spacing w:after="0" w:line="196"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Note: This cross-reference table is not part of the Indenture.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INDENTURE, dated as of [_______________], 20[__] (this “Indenture”), between NewGenIvf Group Ltd, a British Virgin Islands holding</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company (the “Company”), having its principal executive offices at 36/39-36/40, 13th Floor, PS Tower, Sukhumvit 21 Road (Asoke), Khlong Toei Nuea Sub-district, Watthana District, Bangkok 10110, Thailand, and [Name of Trustee], a [State of organization and form of organization], having a corporate trust office at [Address] (the “Trustee”).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has duly authorized the execution and delivery of this Indenture to provide for the issuance from time to time of its unsecured debentures, notes or other evidences of indebtedness (the “Securities”) in one or more fully registered series;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Securities may be senior, senior subordinated or subordinated obligations of the Company, as may be specified in the applicable supplemental indenture, Board Resolution or Officers’ Certificate establishing the terms of a particular series of Securities;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this Indenture is subject to the provisions of the Trust Indenture Act of 1939, as amended (the “Trust Indenture Act” or the “TIA”), that are required to be part of this Indenture and shall, to the extent applicable, be governed by such provisions;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all things necessary to make this Indenture a valid and legally binding agreement of the Company, in accordance with its terms, have been done.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purchase of the Securities by the Holders thereof, the Company and the Trustee mutually covenant and agree, for the equal and proportionate benefit of all Holders of the Securities,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OTHER PROVISIONS OF GENERAL APPLICATION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all purposes of this Indenture, except as otherwise expressly provided or unless the context otherwise requires:</w:t>
      </w:r>
    </w:p>
    <w:p>
      <w:pPr>
        <w:spacing w:after="0" w:line="225" w:lineRule="exact"/>
        <w:rPr>
          <w:sz w:val="20"/>
          <w:szCs w:val="20"/>
          <w:color w:val="auto"/>
        </w:rPr>
      </w:pPr>
    </w:p>
    <w:p>
      <w:pPr>
        <w:ind w:left="1540" w:hanging="236"/>
        <w:spacing w:after="0"/>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have the meanings assigned to them in this Article and include the plural as well as the singular;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0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otherwise defined herein have the meanings assigned to them in accordance with generally accepted accounting principles in the United States or International Financial Reporting Standards, as applicable, as used by the Company in preparing its financial statements filed with the Commission, and, except as otherwise herein expressly provided, the term “generally accepted accounting principles” with respect to any computation required or permitted hereunder shall mean such accounting principles as are used by the Company in its financial statements filed with the Commission at the date of such computation;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ind w:left="660" w:right="20" w:firstLine="644"/>
        <w:spacing w:after="0" w:line="282" w:lineRule="auto"/>
        <w:tabs>
          <w:tab w:leader="none" w:pos="15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instrument to designated “Articles,” “Sections” and other subdivisions are to the designated Articles, Sections and other subdivisions of this Indenture as originally executed;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8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 and</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“including” means “including without limitation.”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“Act” </w:t>
      </w:r>
      <w:r>
        <w:rPr>
          <w:rFonts w:ascii="Times New Roman" w:cs="Times New Roman" w:eastAsia="Times New Roman" w:hAnsi="Times New Roman"/>
          <w:sz w:val="18"/>
          <w:szCs w:val="18"/>
          <w:color w:val="auto"/>
        </w:rPr>
        <w:t>means when used with respect to any Holder, has the meaning specified in Section 1.04.</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“Affiliate” </w:t>
      </w:r>
      <w:r>
        <w:rPr>
          <w:rFonts w:ascii="Times New Roman" w:cs="Times New Roman" w:eastAsia="Times New Roman" w:hAnsi="Times New Roman"/>
          <w:sz w:val="18"/>
          <w:szCs w:val="18"/>
          <w:color w:val="auto"/>
        </w:rPr>
        <w:t>means of any specified Person means any other Person directly or indirectly controlling or controlled by or under direct or indirect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“Authenticating Agent” </w:t>
      </w:r>
      <w:r>
        <w:rPr>
          <w:rFonts w:ascii="Times New Roman" w:cs="Times New Roman" w:eastAsia="Times New Roman" w:hAnsi="Times New Roman"/>
          <w:sz w:val="18"/>
          <w:szCs w:val="18"/>
          <w:color w:val="auto"/>
        </w:rPr>
        <w:t>means any Person authorized by the Trustee to act on behalf of the Trustee to authenticate Securities.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“Authorized Officer” </w:t>
      </w:r>
      <w:r>
        <w:rPr>
          <w:rFonts w:ascii="Times New Roman" w:cs="Times New Roman" w:eastAsia="Times New Roman" w:hAnsi="Times New Roman"/>
          <w:sz w:val="18"/>
          <w:szCs w:val="18"/>
          <w:color w:val="auto"/>
        </w:rPr>
        <w:t>means the Chief Executive Officer, the Chief Financial Officer, the President, any Vice President, the Treasurer, and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Assistant Treasurer.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“Board of Directors” </w:t>
      </w:r>
      <w:r>
        <w:rPr>
          <w:rFonts w:ascii="Times New Roman" w:cs="Times New Roman" w:eastAsia="Times New Roman" w:hAnsi="Times New Roman"/>
          <w:sz w:val="18"/>
          <w:szCs w:val="18"/>
          <w:color w:val="auto"/>
        </w:rPr>
        <w:t>means the board of directors of the Company or any committee of such board duly authorized to act for it.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“Board Resolution” </w:t>
      </w:r>
      <w:r>
        <w:rPr>
          <w:rFonts w:ascii="Times New Roman" w:cs="Times New Roman" w:eastAsia="Times New Roman" w:hAnsi="Times New Roman"/>
          <w:sz w:val="18"/>
          <w:szCs w:val="18"/>
          <w:color w:val="auto"/>
        </w:rPr>
        <w:t>means a copy of a resolution duly adopted by the Board of Directors and to be in full force and effect on the date of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certification, and delivered to the Trustee.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Day” </w:t>
      </w:r>
      <w:r>
        <w:rPr>
          <w:rFonts w:ascii="Times New Roman" w:cs="Times New Roman" w:eastAsia="Times New Roman" w:hAnsi="Times New Roman"/>
          <w:sz w:val="18"/>
          <w:szCs w:val="18"/>
          <w:color w:val="auto"/>
        </w:rPr>
        <w:t>means when used with respect to any Place of Payment, means any day, other than a Saturday or Sunday, that is not a day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banking institutions in such Place of Payment are authorized or obligated by law or executive order to remain closed.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“Commission” </w:t>
      </w:r>
      <w:r>
        <w:rPr>
          <w:rFonts w:ascii="Times New Roman" w:cs="Times New Roman" w:eastAsia="Times New Roman" w:hAnsi="Times New Roman"/>
          <w:sz w:val="18"/>
          <w:szCs w:val="18"/>
          <w:color w:val="auto"/>
        </w:rPr>
        <w:t>means the United States Securities and Exchange Commission, as from time to time constituted, created under the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Act of 1934, as amended, or, if at any time after the execution of this Indenture such Commission is not existing and performing the applicable duties now assigned to it under the Trust Indenture Act, then the body performing such duties on such date.</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w:t>
      </w:r>
      <w:r>
        <w:rPr>
          <w:rFonts w:ascii="Times New Roman" w:cs="Times New Roman" w:eastAsia="Times New Roman" w:hAnsi="Times New Roman"/>
          <w:sz w:val="18"/>
          <w:szCs w:val="18"/>
          <w:color w:val="auto"/>
        </w:rPr>
        <w:t>means has the meaning specified in the preamble of this Indenture, and includes any successor Person pursuant to the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provisions of this Indenture.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“Company Order” </w:t>
      </w:r>
      <w:r>
        <w:rPr>
          <w:rFonts w:ascii="Times New Roman" w:cs="Times New Roman" w:eastAsia="Times New Roman" w:hAnsi="Times New Roman"/>
          <w:sz w:val="18"/>
          <w:szCs w:val="18"/>
          <w:color w:val="auto"/>
        </w:rPr>
        <w:t>means a written order signed in the name of the Company by one or more Authorized Officers and delivered to the Trustee.</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“Corporate Trust Office” </w:t>
      </w:r>
      <w:r>
        <w:rPr>
          <w:rFonts w:ascii="Times New Roman" w:cs="Times New Roman" w:eastAsia="Times New Roman" w:hAnsi="Times New Roman"/>
          <w:sz w:val="18"/>
          <w:szCs w:val="18"/>
          <w:color w:val="auto"/>
        </w:rPr>
        <w:t>means the office of the Trustee at which at any particular time its corporate trust business shall be administered,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 at the date hereof is located at [Address], or such other address as the Trustee may designate from time to time by notice to the Holders and the Company, or the principal corporate trust office of any successor Trustee at such office.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“Default” </w:t>
      </w:r>
      <w:r>
        <w:rPr>
          <w:rFonts w:ascii="Times New Roman" w:cs="Times New Roman" w:eastAsia="Times New Roman" w:hAnsi="Times New Roman"/>
          <w:sz w:val="18"/>
          <w:szCs w:val="18"/>
          <w:color w:val="auto"/>
        </w:rPr>
        <w:t>means any event which is, or after notice or passage of time or both would be, an Event of Default.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“Depositary” </w:t>
      </w:r>
      <w:r>
        <w:rPr>
          <w:rFonts w:ascii="Times New Roman" w:cs="Times New Roman" w:eastAsia="Times New Roman" w:hAnsi="Times New Roman"/>
          <w:sz w:val="18"/>
          <w:szCs w:val="18"/>
          <w:color w:val="auto"/>
        </w:rPr>
        <w:t>means with respect to the Securities of any series issuable or issued in the form of one or more Global Securities, the Person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designated as Depositary by the Company pursuant to Section 3.11, until a successor Depositary shall have become such pursuant to the applicable provisions of this Indenture, and thereafter “Depositary” shall mean or include each Person who is then a Depositary hereunder.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“Event of Default” </w:t>
      </w:r>
      <w:r>
        <w:rPr>
          <w:rFonts w:ascii="Times New Roman" w:cs="Times New Roman" w:eastAsia="Times New Roman" w:hAnsi="Times New Roman"/>
          <w:sz w:val="18"/>
          <w:szCs w:val="18"/>
          <w:color w:val="auto"/>
        </w:rPr>
        <w:t>means, with respect to Securities of any series, has the meaning specified in Section 5.01.</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Security” </w:t>
      </w:r>
      <w:r>
        <w:rPr>
          <w:rFonts w:ascii="Times New Roman" w:cs="Times New Roman" w:eastAsia="Times New Roman" w:hAnsi="Times New Roman"/>
          <w:sz w:val="18"/>
          <w:szCs w:val="18"/>
          <w:color w:val="auto"/>
        </w:rPr>
        <w:t>means a Security evidencing all or part of a series of Securities, issued to the Depositary or its nominee, and registered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 of such Depositary or its nominee.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“Holder” </w:t>
      </w:r>
      <w:r>
        <w:rPr>
          <w:rFonts w:ascii="Times New Roman" w:cs="Times New Roman" w:eastAsia="Times New Roman" w:hAnsi="Times New Roman"/>
          <w:sz w:val="18"/>
          <w:szCs w:val="18"/>
          <w:color w:val="auto"/>
        </w:rPr>
        <w:t>means a Person in whose name a Security is registered in the Security Register.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“Indenture” </w:t>
      </w:r>
      <w:r>
        <w:rPr>
          <w:rFonts w:ascii="Times New Roman" w:cs="Times New Roman" w:eastAsia="Times New Roman" w:hAnsi="Times New Roman"/>
          <w:sz w:val="18"/>
          <w:szCs w:val="18"/>
          <w:color w:val="auto"/>
        </w:rPr>
        <w:t>means this instrument as originally executed and as it may from time to time be supplemented or amended by one or more indentures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Payment Date” </w:t>
      </w:r>
      <w:r>
        <w:rPr>
          <w:rFonts w:ascii="Times New Roman" w:cs="Times New Roman" w:eastAsia="Times New Roman" w:hAnsi="Times New Roman"/>
          <w:sz w:val="18"/>
          <w:szCs w:val="18"/>
          <w:color w:val="auto"/>
        </w:rPr>
        <w:t>means when used with respect to any Security, means the Stated Maturity of an installment of interest on such Security.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“Maturity” </w:t>
      </w:r>
      <w:r>
        <w:rPr>
          <w:rFonts w:ascii="Times New Roman" w:cs="Times New Roman" w:eastAsia="Times New Roman" w:hAnsi="Times New Roman"/>
          <w:sz w:val="18"/>
          <w:szCs w:val="18"/>
          <w:color w:val="auto"/>
        </w:rPr>
        <w:t>means when used with respect to any Security, means the date on which the principal of such Security or an installment of principal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becomes due and payable as therein or herein provided, whether at the Stated Maturity or by declaration of acceleration, call for redemption or otherwise.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“Officers’ Certificate” </w:t>
      </w:r>
      <w:r>
        <w:rPr>
          <w:rFonts w:ascii="Times New Roman" w:cs="Times New Roman" w:eastAsia="Times New Roman" w:hAnsi="Times New Roman"/>
          <w:sz w:val="18"/>
          <w:szCs w:val="18"/>
          <w:color w:val="auto"/>
        </w:rPr>
        <w:t>means a certificate signed by any two Authorized Officers of the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“Opinion of Counsel” </w:t>
      </w:r>
      <w:r>
        <w:rPr>
          <w:rFonts w:ascii="Times New Roman" w:cs="Times New Roman" w:eastAsia="Times New Roman" w:hAnsi="Times New Roman"/>
          <w:sz w:val="18"/>
          <w:szCs w:val="18"/>
          <w:color w:val="auto"/>
        </w:rPr>
        <w:t>means a written opinion of counsel, who may be counsel for, or an employee of, the Company and who shall be reasonably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acceptable to the Trustee.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Original Issue Discount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Securities which provide for an amount less than the principal amount thereof to be due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upon a declaration of acceleration of the Maturity thereof pursuant to Section 5.02.</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“Outstanding” </w:t>
      </w:r>
      <w:r>
        <w:rPr>
          <w:rFonts w:ascii="Times New Roman" w:cs="Times New Roman" w:eastAsia="Times New Roman" w:hAnsi="Times New Roman"/>
          <w:sz w:val="18"/>
          <w:szCs w:val="18"/>
          <w:color w:val="auto"/>
        </w:rPr>
        <w:t>means when used with respect to Securities, means, as of the date of determination, all Securities theretofore authenticated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delivered under this Indenture, except (a) Securities theretofore canceled by the Trustee or delivered to the Trustee for cancellation; (b) 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reasonably satisfactory to the Trustee has been made; and (c) 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reasonably satisfactory to it that such Securities are held by a bona fide purchaser in whose hands such Securities are valid obligations of the Company.</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“Paying Agent” </w:t>
      </w:r>
      <w:r>
        <w:rPr>
          <w:rFonts w:ascii="Times New Roman" w:cs="Times New Roman" w:eastAsia="Times New Roman" w:hAnsi="Times New Roman"/>
          <w:sz w:val="18"/>
          <w:szCs w:val="18"/>
          <w:color w:val="auto"/>
        </w:rPr>
        <w:t>means any Person authorized by the Company to pay the principal of (or premium, if any) or interest on any Securities on behalf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“Person” </w:t>
      </w:r>
      <w:r>
        <w:rPr>
          <w:rFonts w:ascii="Times New Roman" w:cs="Times New Roman" w:eastAsia="Times New Roman" w:hAnsi="Times New Roman"/>
          <w:sz w:val="18"/>
          <w:szCs w:val="18"/>
          <w:color w:val="auto"/>
        </w:rPr>
        <w:t>means any individual, corporation, partnership, joint venture, association, joint-stock company, limited liability company, trust,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unincorporated organization or government or any agency or political subdivision thereof.</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“Place of Payment” </w:t>
      </w:r>
      <w:r>
        <w:rPr>
          <w:rFonts w:ascii="Times New Roman" w:cs="Times New Roman" w:eastAsia="Times New Roman" w:hAnsi="Times New Roman"/>
          <w:sz w:val="18"/>
          <w:szCs w:val="18"/>
          <w:color w:val="auto"/>
        </w:rPr>
        <w:t>means when used with respect to the Securities of any series, means the place or places where the principal of (and premium,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any) and interest on the Securities of that series are payable as specified as contemplated by Sections 3.01 and 10.02.</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“Predecessor Security” </w:t>
      </w:r>
      <w:r>
        <w:rPr>
          <w:rFonts w:ascii="Times New Roman" w:cs="Times New Roman" w:eastAsia="Times New Roman" w:hAnsi="Times New Roman"/>
          <w:sz w:val="18"/>
          <w:szCs w:val="18"/>
          <w:color w:val="auto"/>
        </w:rPr>
        <w:t>means of any particular Security means every previous Security evidencing all or a portion of the same debt as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Date” </w:t>
      </w:r>
      <w:r>
        <w:rPr>
          <w:rFonts w:ascii="Times New Roman" w:cs="Times New Roman" w:eastAsia="Times New Roman" w:hAnsi="Times New Roman"/>
          <w:sz w:val="18"/>
          <w:szCs w:val="18"/>
          <w:color w:val="auto"/>
        </w:rPr>
        <w:t>when used with respect to any Security to be redeemed, means the date fixed for such redemption by or pursuant to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Indenture.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Price” </w:t>
      </w:r>
      <w:r>
        <w:rPr>
          <w:rFonts w:ascii="Times New Roman" w:cs="Times New Roman" w:eastAsia="Times New Roman" w:hAnsi="Times New Roman"/>
          <w:sz w:val="18"/>
          <w:szCs w:val="18"/>
          <w:color w:val="auto"/>
        </w:rPr>
        <w:t>means when used with respect to any Security to be redeemed, means the price at which it is to be redeemed pursuant to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Indenture.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“Regular Record Date” </w:t>
      </w:r>
      <w:r>
        <w:rPr>
          <w:rFonts w:ascii="Times New Roman" w:cs="Times New Roman" w:eastAsia="Times New Roman" w:hAnsi="Times New Roman"/>
          <w:sz w:val="18"/>
          <w:szCs w:val="18"/>
          <w:color w:val="auto"/>
        </w:rPr>
        <w:t>for the interest payable on any Interest Payment Date on the Securities of any series, means the date specified for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 as contemplated by Section 3.01.</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“Responsible Officer” </w:t>
      </w:r>
      <w:r>
        <w:rPr>
          <w:rFonts w:ascii="Times New Roman" w:cs="Times New Roman" w:eastAsia="Times New Roman" w:hAnsi="Times New Roman"/>
          <w:sz w:val="18"/>
          <w:szCs w:val="18"/>
          <w:color w:val="auto"/>
        </w:rPr>
        <w:t>means when used with respect to the Trustee, means any officer within the corporate trust department of the Trustee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 responsibility for the administration of this Indenture, and also means, with respect to a particular corporate trust matter, any other officer to whom such matter is referred because of his or her knowledge of and familiarity with the particular subject.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“Securities” </w:t>
      </w:r>
      <w:r>
        <w:rPr>
          <w:rFonts w:ascii="Times New Roman" w:cs="Times New Roman" w:eastAsia="Times New Roman" w:hAnsi="Times New Roman"/>
          <w:sz w:val="18"/>
          <w:szCs w:val="18"/>
          <w:color w:val="auto"/>
        </w:rPr>
        <w:t>means has the meaning stated in the recitals of this Indenture and, more particularly, means any securities authenticated and delivered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this Indenture.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“Securities Act” </w:t>
      </w:r>
      <w:r>
        <w:rPr>
          <w:rFonts w:ascii="Times New Roman" w:cs="Times New Roman" w:eastAsia="Times New Roman" w:hAnsi="Times New Roman"/>
          <w:sz w:val="18"/>
          <w:szCs w:val="18"/>
          <w:color w:val="auto"/>
        </w:rPr>
        <w:t>means the United States Securities Act of 1933,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“Security Register” </w:t>
      </w:r>
      <w:r>
        <w:rPr>
          <w:rFonts w:ascii="Times New Roman" w:cs="Times New Roman" w:eastAsia="Times New Roman" w:hAnsi="Times New Roman"/>
          <w:sz w:val="18"/>
          <w:szCs w:val="18"/>
          <w:color w:val="auto"/>
        </w:rPr>
        <w:t>means has the meaning specified in Section 3.05.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“Security Registrar” </w:t>
      </w:r>
      <w:r>
        <w:rPr>
          <w:rFonts w:ascii="Times New Roman" w:cs="Times New Roman" w:eastAsia="Times New Roman" w:hAnsi="Times New Roman"/>
          <w:sz w:val="18"/>
          <w:szCs w:val="18"/>
          <w:color w:val="auto"/>
        </w:rPr>
        <w:t>means has the meaning specified in Section 3.05.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“Series” </w:t>
      </w:r>
      <w:r>
        <w:rPr>
          <w:rFonts w:ascii="Times New Roman" w:cs="Times New Roman" w:eastAsia="Times New Roman" w:hAnsi="Times New Roman"/>
          <w:sz w:val="18"/>
          <w:szCs w:val="18"/>
          <w:color w:val="auto"/>
        </w:rPr>
        <w:t>means any series of Securities established by or pursuant to a Board Resolution or in any supplemental indenture as provided in 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3.01.</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“Stated Maturity” </w:t>
      </w:r>
      <w:r>
        <w:rPr>
          <w:rFonts w:ascii="Times New Roman" w:cs="Times New Roman" w:eastAsia="Times New Roman" w:hAnsi="Times New Roman"/>
          <w:sz w:val="18"/>
          <w:szCs w:val="18"/>
          <w:color w:val="auto"/>
        </w:rPr>
        <w:t>means when used with respect to any Security or any installment of principal thereof or interest thereon, means the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specified in such Security as the fixed date on which the principal of such Security or such installment of principal or interest is due and payable.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“Subsidiary” </w:t>
      </w:r>
      <w:r>
        <w:rPr>
          <w:rFonts w:ascii="Times New Roman" w:cs="Times New Roman" w:eastAsia="Times New Roman" w:hAnsi="Times New Roman"/>
          <w:sz w:val="18"/>
          <w:szCs w:val="18"/>
          <w:color w:val="auto"/>
        </w:rPr>
        <w:t>means any Person of which the Company, directly or indirectly, owns more than 50% of the outstanding voting stock or equivalent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interests having ordinary voting power for the election of directors or other governing body.</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“Trustee” </w:t>
      </w:r>
      <w:r>
        <w:rPr>
          <w:rFonts w:ascii="Times New Roman" w:cs="Times New Roman" w:eastAsia="Times New Roman" w:hAnsi="Times New Roman"/>
          <w:sz w:val="18"/>
          <w:szCs w:val="18"/>
          <w:color w:val="auto"/>
        </w:rPr>
        <w:t>means the Person named as the “Trustee” in the first paragraph of this instrument until a successor Trustee shall have become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the applicable provisions of this Indenture, and thereafter “Trustee” shall mean or include each Person who is then a Trustee hereunder; provided that if at any time there is more than one such Person, “Trustee” as used with respect to the Securities of any series shall mean only the Trustee with respect to the Securities of that series.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“Trust Indenture Act” </w:t>
      </w:r>
      <w:r>
        <w:rPr>
          <w:rFonts w:ascii="Times New Roman" w:cs="Times New Roman" w:eastAsia="Times New Roman" w:hAnsi="Times New Roman"/>
          <w:sz w:val="18"/>
          <w:szCs w:val="18"/>
          <w:color w:val="auto"/>
        </w:rPr>
        <w:t>or “TIA” means the United States Trust Indenture Act of 1939, as amended.</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“United States” </w:t>
      </w:r>
      <w:r>
        <w:rPr>
          <w:rFonts w:ascii="Times New Roman" w:cs="Times New Roman" w:eastAsia="Times New Roman" w:hAnsi="Times New Roman"/>
          <w:sz w:val="18"/>
          <w:szCs w:val="18"/>
          <w:color w:val="auto"/>
        </w:rPr>
        <w:t>means the United States of America (including the States and the District of Columbia), its territories, possessions and other areas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its jurisdiction.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1.02. Compliance Certificates and Opinions.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Section 1.03. Form of Documents Delivered to Trustee.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1.04. Acts of Holders; Record Dates.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request, demand, authorization, direction, notice, consent, waiver or other action provided or permitted by this Indenture to be given or taken by Holders may be embodied in and evidenced by one or more instruments of substantially similar tenor signed by such Holders in person or by agents duly appointed in writing.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an “Act” of the Holders signing such instrument or instruments.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1.05. Notices, Etc., to Trustee and Company.</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Any request, demand, authorization, direction, notice, consent, waiver or Act of Holders or other document provided or permitted by this Indenture to be made upon, given or furnished to, or filed with, (a) the Trustee by any Holder or by the Company shall be sufficient for every purpose hereunder if made, given, furnished or filed in writing to or with the Trustee at its Corporate Trust Office, attention: [____________], or (b) the Company</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by the Trustee or by any Holder shall be sufficient for every purpose hereunder (unless otherwise herein expressly provided) if in writing and mailed, first class postage prepaid, sent by overnight courier, or transmitted by email, addressed to the Company at the address of its principal office as set forth in the preamble of this Indenture, attention: [General Counsel].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1.06. Notice to Holders; Waiver.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to Holders of any event, such notice shall be sufficiently given (unless otherwise herein expressly provided) if in writing and mailed, first-class postage prepaid, to each Holder affected by such event, at the address of such Holder as it appears in the Security Register, not later than the latest date, and not earlier than the earliest date, prescribed for the giving of such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1.07. Effect of Headings and Table of Contents.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Article and Section headings herein and the Table of Contents are for convenience only and shall not affect the construction 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1.08. Successors and Assigns.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covenants and agreements in this Indenture by the Company shall bind its successors and assigns, whether so expressed or not.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1.09. Severability Clause.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Section 1.10. Benefits of Indenture.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to any Person, other than the parties hereto and their successors hereunder, any Paying Agent and the Holders, any benefit or any legal or equitable right, remedy or claim under this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1.11. Governing Law.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INDENTURE AND THE SECURITIES SHALL BE GOVERNED BY AND CONSTRUED IN ACCORDANCE WITH THE LAWS OF THE STATE OF NEW YORK, WITHOUT REGARD TO ITS CONFLICTS OF LAWS PRINCIPLES. THE COMPANY HEREBY IRREVOCABLY SUBMITS TO THE NON-EXCLUSIVE JURISDICTION OF ANY NEW YORK STATE OR UNITED STATES FEDERAL COURT SITTING IN THE BOROUGH OF MANHATTAN, THE CITY OF NEW YORK, IN ANY ACTION OR PROCEEDING ARISING OUT OF OR RELATING TO THIS INDENTURE OR THE SECURITIES, AND THE COMPANY HEREBY IRREVOCABLY AGREES THAT ALL CLAIMS IN RESPECT OF SUCH ACTION OR PROCEEDING MAY BE HEARD AND DETERMINED IN ANY SUCH COURT. THE COMPANY HEREBY IRREVOCABLY APPOINTS [NAME AND ADDRESS OF AGENT] AS ITS AGENT TO RECEIVE ON ITS BEHALF SERVICE OF COPIES OF THE SUMMONS AND COMPLAINT AND ANY OTHER PROCESS WHICH MAY BE SERVED IN ANY SUCH ACTION OR PROCEEDING.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1.12. Legal Holidays.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any case where any Interest Payment Date, Redemption Date, sinking fund payment date or Stated Maturity of any Security shall not be a Business Day at any Place of Payment, then (notwithstanding any other provision of this Indenture or the Securities) payment of principal (and premium, if any) or interest, if any, need not be made at such Place of Payment on such date, but may be made on the next succeeding Business Day at such Place of Payment with the same force and effect as if made on the Interest Payment Date, Redemption Date, sinking fund payment date, or at the Stated Maturity, and no interest shall accrue for the intervening period.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FORMS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2.01. Forms Generally.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Securities of each series shall be in substantially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of the Company executing such Securities, as evidenced by their execution of the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2.02. Form of Trustee’s Certificate of Authentication.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Trustee’s certificate of authentication shall be in substantially the following form: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color w:val="auto"/>
        </w:rPr>
        <w:t>Dated: 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TRUSTEE], as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___________________________________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3.01. Amount Unlimited; Issuable in Series.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aggregate principal amount of Securities which may be authenticated and delivered under this Indenture is unlimited. The Securities may be issued in one or more series. There shall be established in or pursuant to a Board Resolution and, subject to Section 3.03, set forth, or determined in the manner provided, in an Officers’ Certificate, or established in one or more indentures supplemental hereto, prior to the issuance of Securities of any series, any or all of the following: the title; aggregate principal amount; date(s) of issuance; interest rate(s); Stated Maturity; payment dates; record dates; place of payment; currency; redemption provisions; sinking fund provisions; denominations; conversion or exchange provisions; subordination provisions; provisions for global securities; defeasance or covenant defeasance applicability; the identity of the Trustee for such series; any guarantees; additional Events of Default; additional covenants; and any other terms, in each case to the extent not inconsistent with this Indenture.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3.02. Denominations.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of each series shall be issuable in such denominations as shall be specified as contemplated by Section 3.01. In the absence of any such specification, the Securities of any series shall be issuable in U.S. dollar-denominated minimum denominations of $[__] and integral multiples of $[__] thereof, or in such other minimum denominations and integral multiples as shall be established with respect to any series of Securities in the applicable Board Resolution or supplemental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3.03. Execution, Authentication, Delivery and Dating.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shall be executed on behalf of the Company by an Authorized Officer of the Company. The signature of any such Authorized Officer may be manual or facsimile. 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such Company Order shall authenticate and deliver such Securities. The Trustee shall not be required to authenticate any Securities for sale or delivery unless such Company Order is accompanied by an Officers’ Certificate and an Opinion of Counsel of the Company stating that the form and terms of such Securities have been duly established in accordance with this Indenture.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3.04. Temporary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 The Company shall promptly, as the case may require, prepare definitive Securities of such series and, upon surrender of the temporary Securities, the Company shall execute and the Trustee shall authenticate and deliver in exchange therefor definitive Securities of the same series of like tenor.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Section 3.05. Registration, Registration of Transfer and Exchange.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shall cause to be kept at the Corporate Trust Office of the Trustee, or at the office of such other agent as the Company may designate (the “Security Registrar”), a register (the “Security Register”) in which, subject to such reasonable regulations as the Security Registrar may prescribe, the Company shall provide for the registration of Securities of each series and of transfers of Securities of such series. The Trustee is hereby appointed Security Registrar for the purpose of registering Securities and transfers of Securities as herein provided. The Company may at any time and from time to time vary or terminate the appointment of any such agent or appoint any additional agents for the purposes specified in this Section 3.05; provided that there shall at all times be a Security Registrar in the United States or such other location as may be specified in connection with the establishment of a particular series.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surrender for registration of transfer of any Security of any series at the office of the Security Registrar, the Company shall execute, and the Trustee shall authenticate and deliver, in the name of the designated transferee or transferees, one or more new Securities of the same series of any authorized denomination or denominations, of like aggregate principal amount and tenor.</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At the option of the Holder, Securities of any series may be exchanged for other Securities of the same series of any authorized denomination or denominations of like aggregate principal amount and tenor upon surrender of the Securities to be exchanged at the office or agency of the Company. Whenever any Securities are so surrendered for exchange, the Company shall execute, and the Trustee shall authenticate and deliver, the Securities which the Holder making the exchange is entitled to receive.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3.06 or 8.06 not involving any transfer.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3.06. Mutilated, Destroyed, Lost or Stolen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mutilated Security is surrendered to the Trustee, or the Company and the Trustee receive evidence to their satisfaction of the destruction, loss or theft of any Security, the Company shall execute and the Trustee shall authenticate and deliver in exchange therefor a new Security of like series, principal amount and tenor, bearing a number not contemporaneously outstanding. In the case of any mutilated, destroyed, lost or stolen Security, an indemnity reasonably satisfactory to the Trustee and the Company may be required at the expense of the Holder of such Security before a replacement Security shall be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3.07. Payment of Interest; Interest Rights Preserved.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3.08. Persons Deemed Owners.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and at the time of due presentment of a Security for registration of transfer, the Company, the Trustee and any agent of the Company or the Trustee may treat the Person in whose name any Security is registered as the absolute owner of such Security for the purpose of receiving payment of principal of (and premium, if any) and (subject to Sections 3.05 and 3.07) interest on such Security and for all other purposes whatsoever, whether or not such Security be overdue, and neither the Company, the Trustee nor any agent of the Company or the Trustee shall be affected by notice to the contrary.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Section 3.09. Cancellation.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Securities surrendered for payment, redemption, registration of transfer or exchange, or for credit against any sinking fund or amortization payment, shall, if surrendered to any Person other than the Trustee, be delivered to the Trustee, and any such Securities and Securities surrendered directly to the Trustee for any such purpose shall be promptly canceled by the Trustee.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3.10. Computation of Interest.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specified as contemplated by Section 3.01 for Securities of any series, interest on the Securities of each series shall be computed on the basis of a 360-day year of twelve 30-day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3.11. Global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shall establish pursuant to Section 3.01 that the Securities of a particular series are to be issued in whole or in part in the form of one or more Global Securities, then the Company shall execute and the Trustee shall, in accordance with Section 3.03 and the Company Order with respect to such series, authenticate and deliver such Global Security or Securities, which (a) shall represent, and shall be denominated in an amount equal to the aggregate principal amount of, the Outstanding Securities of such series to be represented by such Global Security or Securities, (b) shall be registered in the name of the Depositary for such Global Security or Securities or its nominee, (c) shall be delivered by the Trustee to the Depositary or pursuant to the Depositary’s instruction, and (d) shall bear a legend substantially to the effect set forth below or such other legend as is required by the Depositary.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legend referred to in clause (d) above shall be substantially to the following effect: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no transfer of this Security (other than a transfer of this Security as a whole by the Depositary to a nominee of the Depositary or by a nominee of the Depositary to the Depositary or another nominee of the Depositary) may be registered except in such limited circumstances.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Depositary to the Company or its agent for registration of transfer, exchange or payment, and any Security issued is registered in the name of the Depositary or such other name as is requested by an authorized representative of the Depositary (and any payment is made to the Depositary or to such other entity as is requested by an authorized representative of the Depositary), ANY TRANSFER, PLEDGE OR OTHER USE HEREOF FOR VALUE OR OTHERWISE BY OR TO ANY PERSON IS WRONGFUL inasmuch as the registered owner hereof, the Depositary or its nominee, has an interest herein.”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4.01. Satisfaction and Discharge of Indenture.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Indenture shall, upon Company Order, cease to be of further effect with respect to any series of Securities (except as to any surviving rights of registration of transfer or exchange of Securities of such series herein expressly provided for, any rights of Holders of Securities of such series to receive payments of principal of (and premium, if any) and interest, if any, on such Securities when due, certain rights of the Trustee and the rights, obligations and immunities of the Trustee hereunder), and the Trustee, at the expense of the Company, shall execute proper instruments acknowledging satisfaction and discharge of this Indenture with respect to such series of Securities, when (a) either (i) all Securities of such series theretofore authenticated and delivered (other than Securities replaced pursuant to Section 3.06) have been delivered to the Trustee for cancellation, or (ii) all such Securities not theretofore delivered to the Trustee for cancellation (1) have become due and payable, (2) will become due and payable at their Stated Maturity within one year, or (3) are to be called for redemption within one year under arrangements satisfactory to the Trustee for the giving of notice of redemption by the Trustee in the name, and at the expense, of the Company; and (b) the Company has irrevocably deposited or caused to be deposited with the Trustee as trust funds an amount sufficient to pay and discharge the entire indebtedness on such Securities not theretofore delivered to the Trustee for cancellation, for principal (and premium, if any) and interest to the date of such deposit (in the case of Securities which have become due and payable) or to the Stated Maturity or Redemption Date, as the case may be; and (c) the Company has delivered to the Trustee an Officers’ Certificate and an Opinion of Counsel, each stating that all conditions precedent herein provided for relating to the satisfaction and discharge of this Indenture with respect to such series have been complied with.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ind w:left="514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5.01. Events of Default.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“Event of Default” with respect to Securities of any series,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it is either inapplicable to a particular series or it is specifically deleted or modified in or pursuant to the supplemental indenture, Board Resolution or Officers’ Certificate establishing the terms of such series of Securities pursuant to Section 3.01:</w:t>
      </w:r>
    </w:p>
    <w:p>
      <w:pPr>
        <w:spacing w:after="0" w:line="183" w:lineRule="exact"/>
        <w:rPr>
          <w:sz w:val="20"/>
          <w:szCs w:val="20"/>
          <w:color w:val="auto"/>
        </w:rPr>
      </w:pPr>
    </w:p>
    <w:p>
      <w:pPr>
        <w:ind w:left="340" w:right="20" w:hanging="8"/>
        <w:spacing w:after="0" w:line="282" w:lineRule="auto"/>
        <w:tabs>
          <w:tab w:leader="none" w:pos="59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when such interest becomes due and payable, and continuance of such default for a period of 30 days;</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Security of that series at its Maturity;</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in respect of any Security of that series;</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5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[__] days after there has been given, by registered or certified mail, to the Company by the Trustee or to the Company and the Trustee by the Holders of at least [25]% in principal amount of the Outstanding Securities of that series (or such other period or percentage as may be specified in the applicable Board Resolution or supplemental indenture) a written notice specifying such default or breach;</w:t>
      </w:r>
    </w:p>
    <w:p>
      <w:pPr>
        <w:spacing w:after="0" w:line="187" w:lineRule="exact"/>
        <w:rPr>
          <w:rFonts w:ascii="Times New Roman" w:cs="Times New Roman" w:eastAsia="Times New Roman" w:hAnsi="Times New Roman"/>
          <w:sz w:val="18"/>
          <w:szCs w:val="18"/>
          <w:color w:val="auto"/>
        </w:rPr>
      </w:pPr>
    </w:p>
    <w:p>
      <w:pPr>
        <w:jc w:val="both"/>
        <w:ind w:left="340" w:hanging="8"/>
        <w:spacing w:after="0" w:line="255" w:lineRule="auto"/>
        <w:tabs>
          <w:tab w:leader="none" w:pos="6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having jurisdiction in the premises of (i) a decree or order for relief in respect of the Company in an involuntary case or proceeding under the United States Bankruptcy Code, as amended, or any other applicable Federal, State or foreign bankruptcy, insolvency, reorganization or other similar law, or (ii) a decree or order adjudging the Company a bankrupt or insolvent, or approving as properly filed a petition seeking reorganization, arrangement, adjustment or composition of or in respect of the Company under any applicable Federal, State or foreign law, or appointing a custodian, receiver, liquidator, assignee, trustee, sequestrator or other similar official for the Company or for any substantial part of its property, or ordering the winding-up or liquidation of its affairs, and the continuance of any such decree or order unstayed and in effect for a period of 90 consecutive days; or</w:t>
      </w:r>
    </w:p>
    <w:p>
      <w:pPr>
        <w:spacing w:after="0" w:line="188"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the Company of a voluntary case or proceeding under the United States Bankruptcy Code, as amended, or any other applicable Federal, State or foreign bankruptcy, insolvency, reorganization or other similar law or of any other case or proceeding to be adjudicated a bankrupt or insolvent.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Section 5.02. Acceleration of Maturity; Rescission and Annulment.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at the time Outstanding occurs and is continuing, then in every such case the Trustee or the Holders of not less than [25]% in principal amount of the Outstanding Securities of that series (or such other percentage as may be specified in the applicable Board Resolution or supplemental indenture) may declare the principal amount (or, if any of the Securities of that series are Original Issue Discount Securities, such portion of the principal amount as may be specified in the terms of that series) of all of the Securities of that series to be due and payable immediately, by a notice in writing to the Company (and to the Trustee if given by Holders), and upon any such declaration such principal amount (or specified amount) shall become immediately due and payable.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5.03. Collection of Indebtedness and Suits for Enforcement by Trustee.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covenants that if (a) default is made in the payment of any installment of interest on any Security when such interest becomes due and payable and such default continues for a period of [__] days (or such other grace period as may be specified in the applicable Board Resolution or supplemental indenture), or (b) default is made in the payment of the principal of (or premium, if any, on) any Security at its Maturity, the Company shall, upon demand of the Trustee, pay to the Trustee, for the benefit of the Holders of such Securities, the whole amount then due and payable on such Securities for principal (and premium, if any) and interest and, to the extent that payment of such interest shall be legally enforceable, interest on any overdue principal (and premium, if any)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5.04. Trustee May File Proofs of Claim.</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to file and prove a claim for the whole amount of principal (and premium,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 to collect and receive any moneys or other property payable or deliverable on any such claims and to distribute the same. 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5.05. Trustee May Enforce Claims Without Possession of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Section 5.06. Application of Money Collected.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money collected by the Trustee pursuant to this Article shall be applied in the following order, at the date or dates fixed by the Trustee and, in case of the distribution of such money on account of principal (or premium, if any) or interest, upon presentation of the Securities and the notation thereon of the payment if only partially paid and upon surrender thereof if fully paid: First, to the payment of all amounts due the Trustee under Section 6.07; Second, to the payment of the amounts then due and unpaid for principal of (and premium, if any) and interest on the Securities in respect of which or for the benefit of which such money has been collected, ratably, without preference or priority of any kind, according to the amounts due and payable on such Securities for principal (and premium, if any) and interest, respectively; and Third, the balance, if any, to the Person or Persons entitled thereto.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5.07. Limitation on Suits.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for the appointment of a receiver or trustee, or for any other remedy hereunder, unless (a) such Holder has previously given written notice to the Trustee of a continuing Event of Default with respect to the Securities of that series; (b) the Holders of not less than 25% in principal amount of the Outstanding Securities of that series shall have made written request to the Trustee to institute proceedings in respect of such Event of Default in its own name as Trustee hereunder; (c) such Holder or Holders have offered to the Trustee indemnity reasonably satisfactory to it against the costs, expenses and liabilities to be incurred in compliance with such request; (d) the Trustee for [__] days after its receipt of such notice, request and offer of indemnity has failed to institute any such proceeding; and (e) no direction inconsistent with such written request has been given to the Trustee during such 60-day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5.08. Unconditional Right of Holders to Receive Principal, Premium and Interest.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of the principal of (and premium, if any) and interest on such Security on the respective Stated Maturities expressed in such Security (or, in the case of redemption, on the Redemption Date) and to institute suit for the enforcement of any such payment, and such rights shall not be impaired without the consent of such 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5.09. Restoration of Rights and Remedies.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5.10. Rights and Remedies Cumulative.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provided herein,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Section 5.11. Delay or Omission Not Waiver.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Security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5.12. Control by 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 (a) such direction shall not be in conflict with any rule of law or with this Indenture; (b) the Trustee may take any other action deemed proper by the Trustee that is not inconsistent with such direction; and (c) the Trustee need not take any action that it determines in good faith may involve it in personal liability or be unduly prejudicial to the Holders not joining therein.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5.13. Waiver of Past Defaults.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 (a) in the payment of the principal of (or premium, if any) or interest on any Security of such series, or (b) in respect of a covenant or provision hereof which under Article 9 cannot be modified or amended without the consent of the Holder of each Outstanding Security of such series affected.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5.14. Undertaking for Costs.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Trustee, a court may require any party litigant in such suit to file an undertaking to pay the costs of such suit, and may assess reasonable costs, including reasonable attorneys’ fees, against any party litigant in such suit, having due regard to the merits and good faith of the claims or defenses made by such party litigant; but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if any) or interest on any Security on or after the applicable due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6.01. Certain Duties and Responsibilities of the Trustee.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6.02. Notice of Defaults.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Within [__] days after the occurrence of any Default hereunder with respect to the Securities of any series, the Trustee shall transmit, in the manner and to the extent provided in Section 313(c) of the Trust Indenture Act, notice of such Default known to the Trustee with respect to the Securities of that series, unless such Default shall have been cured or waived; provided, however, that, except in the case of a Default in the payment of the principal of (or premium, if any) or interest on any Security of such series, or in the payment of any sinking fund installment with respect to any Security of such series, the Trustee shall be protected in withholding such notice if and so long as a trust committee of directors or Responsible Officers of the Trustee in good faith determines that the withholding of such notice is in the interest of the Holders of Securities of such series.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Section 6.03. Certain Rights of Trustee.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Subject to the provisions of Section 6.01: (a) the Trustee may conclusively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 (b) any request or direction of the Company mentioned herein shall be sufficiently evidenced by a Company Order or as otherwise expressly provided herein, and any resolution of the Board of Directors shall be sufficiently evidenced by a Board Resolution; (c) whenever in the administration of this Indenture the Trustee shall deem it desirable that a matter be proved or established prior to taking, suffering or omitting any action hereunder, the Trustee may rely upon an Officers’ Certificate; (d) the Trustee may consult with counsel of its selection and the written advice of such counsel or any Opinion of Counsel shall be full and complete authorization and protection in respect of any action taken, suffered or omitted by it hereunder in good faith and in reliance thereon; (e) the Trustee shall be under no obligation to exercise any of the rights or powers vested in it by this Indenture at the request or direction of any of the Holders pursuant to this Indenture, unless such Holders shall have offered to the Trustee indemnity reasonably satisfactory to it against the costs, expenses and liabilities which might be incurred by it in compliance with such request or direction; (f)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6.04. Not Responsible for Recitals or Issuance of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Indenture or of the Securities. The Trustee shall not be accountable for the use or application by the Company of the Securities or the proceeds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6.05. May Hold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any Authenticating Agent, any Paying Agent, any Security Registrar or any other agent of the Company or the Trustee,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6.06. Money Held in Trust.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Section 6.07. Compensation and Reimbursement.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agrees (a) to pay to the Trustee from time to time reasonable compensation for all services rendered by it hereunder (which compensation shall not be limited by any provision of law in regard to the compensation of a trustee of an express trust); (b) 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 (c) to indemnify the Trustee and its officers, directors, agents and employees for, and to hold them harmless against, any loss, liability or expense incurred without negligence or bad faith on their part, arising out of or in connection with the acceptance or administration of the trust or trusts hereunder, including the costs and expenses of defending themselves against any claim or liability in connection with the exercise or performance of any of their powers or duties hereunder. As security for the performance of the obligations of the Company under this Section, the Trustee shall have a lien prior to the Securities upon all property and funds held or collected by the Trustee as such, except funds held in trust for the payment of principal of (and premium, if any) or interest on particular Securities. The provisions of this Section shall survive the resignation or removal of the Trustee and the satisfaction and discharge of this Indenture.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6.08. Conflicting Interests.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6.09. Corporate Trustee Required; Eligibility.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shall at all times be a Trustee hereunder which shall be a Person that is eligible pursuant to the Trust Indenture Act to act as such and has a combined capital and surplus of at least US$[__] (or such greater amount as may be specified in the applicable Board Resolution or supplemental indenture, or as may be required by any underwriter or purchaser of the Securities). If such Person publishes reports of condition at least annually, pursuant to law or to the requirements of its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6.10. Resignation and Removal; Appointment of Successor.</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6.11. The Trustee may resign at any time with respect to the Securities of one or more series by giving written notice thereof to the Company. The Trustee may be removed with respect to the Securities of any series by Act of the Holders of a majority in principal amount of the Outstanding Securities of such series, delivered to the Trustee and to the Company. If at any time (a) the Trustee shall fail to comply with Section 6.08 after written request therefor by the Company or by any Holder, (b) the Trustee shall cease to be eligible under Section 6.09 and shall fail to resign after written request therefor by the Company or by any such Holder, or (c)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the Company by a Board Resolution may remove the Trustee with respect to all Securities, or any Holder who has been a bona fide Holder of a Security for at least six months may, on behalf of himself and all others similarly situated, petition any court of competent jurisdiction for the removal of the Trustee and the appointment of a successor Trustee. If the Trustee shall resign, be removed or become incapable of acting, or if a vacancy shall occur in the office of Trustee for any cause, with respect to the Securities of one or more series, the Company, by a Board Resolution, shall promptly appoint a successor Trustee with respect to the Securities of that or those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supersede the successor Trustee appointed by the Company. The Company shall give notice of each resignation and each removal of the Trustee and each appointment of a successor Trustee to all Holders in the manner provided in Section 1.06.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Section 6.11. Acceptance of Appointment by Successor.</w:t>
      </w:r>
    </w:p>
    <w:p>
      <w:pPr>
        <w:spacing w:after="0" w:line="22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In case of the appointment hereunder of a successor Trustee,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Company shall execute any and all instruments for more fully and certainly vesting in and confirming to such successor Trustee all such rights, powers and trusts. No successor Trustee shall accept its appointment unless at the time of such acceptance such successor Trustee shall be qualified and eligible under this Article.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6.12. Merger, Conversion, Consolidation or Succession to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Person into which the Trustee may be merged or converted or with which it may be consolidated, or any Person resulting from any merger, conversion or consolidation to which the Trustee shall be a party, or any Person succeeding to all or substantially all of the corporate trust business of the Trustee, shall be the successor of the Trustee hereunder, provided such Person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6.13. Preferential Collection of Claims Against Company.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6.14. Appointment of Authenticating Agent.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and Securities so authenticated shall be entitled to the benefits of this Indenture and shall be valid and obligatory for all purposes as if authenticated by the Trustee hereunder. Any such Authenticating Agent shall at all times be a Person eligible in accordance with the provisions of the Trust Indenture Act and acceptable to the Trustee. The Company agrees to pay each Authenticating Agent reasonable compensation for its services under this Section, and the provisions of Sections 6.04, 6.05 and 6.07 shall be applicable to each Authenticating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HOLDERS’ LISTS AND REPORTS BY TRUSTEE AND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7.01. Company to Furnish Trustee Names and Addresses of 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furnish or cause to be furnished to the Trustee (a) semi-annually, not later than each Regular Record Date for an Interest Payment Date for the Securities of each series, a list, in such form as the Trustee may reasonably require, of the names and addresses of the Holders of Securities of such series as of such Regular Record Date, and (b) at such other times as the Trustee may request in writing, within [__] days after the receipt by the Company of any such request, a list of similar form and content as of a date not more than [__] days prior to the time such list is furnished; excluding from any such list names and addresses received by the Trustee in its capacity as Security Registrar.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7.02. Preservation of Information; Communications to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Holders may communicate as provided in Section 312(b) of the Trust Indenture Act with other Holders with respect to their rights under this Indenture or under the Securities, and the Trustee, the Company and any other Person shall have the protection of Section 312(c) of the Trust Indenture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7.03. Reports by Trustee.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shall transmit to Holders such reports concerning the Trustee and its actions under this Indenture as may be required pursuant to the Trust Indenture Act, at the times and in the manner provided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7.04. Reports by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shall file with the Trustee, within [__]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Securities Exchange Act of 1934, as amended. Filing of such reports via the Commission’s EDGAR system (or any successor thereto) shall be deemed to satisfy the delivery requirements of this Section.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CONSOLIDATION, MERGER, CONVEYANCE, TRANSFER OR 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8.01. Company May Consolidate, Etc., Only on Certain Terms.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shall not consolidate with or merge into any other Person or, directly or indirectly, convey, transfer or lease its properties and assets substantially as an entirety to any Person, unless: (a) the Person formed by such consolidation or into which the Company is merged or the Person which acquires by conveyance or transfer, or which leases, the properties and assets of the Company substantially as an entirety (the “Successor Person”) shall be a Person organized and existing under the laws of the Cayman Islands, Singapore, the British Virgin Islands, the United States, any State thereof or the District of Columbia and shall expressly assume, by an indenture supplemental hereto, executed and delivered to the Trustee, in form satisfactory to the Trustee, the due and punctual payment of the principal of (and premium, if any) and interest on all the Securities and the performance or observance of every covenant of this Indenture on the part of the Company to be performed or observed; (b) immediately after giving effect to such transaction and treating any indebtedness which becomes an obligation of the Successor Person or any Subsidiary of the Successor Person as a result of such transaction as having been incurred by the Successor Person at the time of such transaction, no Event of Default, and no event which, after notice or lapse of time or both, would become an Event of Default, shall have happened and be continuing; and (c) 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8 and that all conditions precedent herein provided for relating to such transaction have been complied with.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Section 8.02. Successor Person Substituted.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any consolidation by the Company with or merger of the Company into any other Person or any conveyance, transfer or lease of the properties and assets of the Company substantially as an entirety in accordance with Section 8.01, the Successor Person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9.01. Supplemental Indentures Without Consent of Holders.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Without the consent of any Holders, the Company, when authorized by a Board Resolution, and the Trustee, at any time and from time to time, may enter into one or more indentures supplemental hereto for any of the following purposes: (a) to evidence the succession of another Person to the Company and the assumption by any such successor of the covenants of the Company herein and in the Securities; (b) to add to the covenants of the Company for the benefit of the Holders of all or any series of Securities; (c) to add additional Events of Default with respect to all or any series of Securities; (d) to add to or change any of the provisions of this Indenture to such extent as shall be necessary to permit or facilitate the issuance of Securities of any series in bearer form, registrable or not registrable as to principal; (e) to change or eliminate any of the provisions of this Indenture; (f) to establish the form or terms of Securities of any series as permitted by Sections 2.01 and 3.01; (g) to evidence and provide for the acceptance of appointment hereunder by a successor Trustee with respect to the Securities of one or more series; (h) to cure any ambiguity, to correct or supplement any provision herein which may be inconsistent with any other provision herein, or to make any other provisions with respect to matters or questions arising under this Indenture; or (i) to add to, change or eliminate any of the provisions of this Indenture in respect of one or more series of Securities, provided that any such addition, change or elimination shall not apply to any Security of any series created prior to the execution of such supplemental indenture and entitled to the benefit of such provision.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9.02. Supplemental Indentures with Consent of Holders.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With the consent of the Holders of not less than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 (a) change the Stated Maturity of the principal of, or any installment of principal of or interest on, any such Security; (b) reduce the principal amount of, or the premium, if any, on, any such Security or reduce the rate of interest thereon; (c) change any Place of Payment where any such Security or interest thereon is payable; (d) impair the right to institute suit for the enforcement of any such payment on or after the Stated Maturity thereof (or, in the case of redemption, on or after the Redemption Date); (e) 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or (f) modify any of the provisions of this Section 9.02, except to increase any such percentage or to provide that certain other provisions of this Indenture cannot be modified or waived without the consent of the Holder of each Outstanding Security affected thereby; or (g) modify or amend any other provision expressly designated as unamendable without the consent of each affected Holder in the applicable Board Resolution or supplemental indenture.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ind w:left="5100"/>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10.01. Payment of Principal, Premium and Interest.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covenants and agrees for the benefit of each series of Securities that it will duly and punctually pay the principal of (and premium, if any) and interest on the Securities of that series in accordance with the terms of the Securities and this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10.02. Maintenance of Office or Agency.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10.03. Money for Securities Payments to Be Held in Trust.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shall at any time act as its own Paying Agent with respect to any series of Securities, it will, on or before each due date of the principal of (or premium, if any) or interest on any of the Securities of such series,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action or failure so to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10.04. Statement by Officers as to Default.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shall deliver to the Trustee within [__] days after the end of each fiscal year (or, if later, the period within which the Company is required to file its Annual Report on Form 20-F with the Commission)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OF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11.01. Applicability of Article.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Securities of any series which are redeemable before their Stated Maturity shall be redeemable in accordance with their terms and (except as otherwise specified as contemplated by Section 3.01) in accordance with this Article 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11.02. Election to Redeem; Notice to Trustee.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election of the Company to redeem any Securities shall be evidenced by a Board Resolution. In case of any redemption at the election of the Company of less than all of the Securities of any series, the Company shall, at least [__] days prior to the Redemption Date fixed by the Company (unless a shorter notice shall be satisfactory to the Trustee, and subject to any longer or shorter notice period as may be specified in the applicable Board Resolution or supplemental indenture), notify the Trustee of such Redemption Date and of the principal amount of Securities of such series to be redeemed and shall deliver to the Trustee such documentation and records as shall enable the Trustee to select the Securities to be redeemed pursuant to Section 11.03.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Section 11.03. Selection by Trustee of Securities to Be Redeemed; Notice of Redemption.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less than all the Securities of any series are to be redeemed, the particular Securities to be redeemed shall be selected not more than 60 days prior to the Redemption Date by the Trustee, from the Outstanding Securities of such series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Notice of redemption shall be given by first-class mail, postage prepaid, mailed not less than [__] nor more than [__] days prior to the Redemption Date (or such other notice period as may be specified in the applicable Board Resolution or supplemental indenture), to each Holder of Securities to be redeemed, at his address appearing in the Security Register.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11.04. Deposit of Redemption Price.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DEFEASANCE AND COVENANT DEFEASANCE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12.01. Company’s Option to Effect Defeasance or Covenant Defeasance.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elect, at any time, to have either Section 12.02 (Defeasance) or Section 12.03 (Covenant Defeasance) applied to any Securities or any series of Securities, as the case may be, designated pursuant to Section 3.01 as being defeasible pursuant to such Section 12.02 or Section 12.03, in accordance with any applicable requirements provided pursuant to Section 3.01 and upon compliance with the conditions set forth below in this Article. Any such election shall be evidenced by a Board Resolution or in another manner specified as contemplated by Section 3.01 for such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12.02. Defeasance and Discharge.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the Company’s exercise of its option to have this Section applied to any Securities or any series of Securities, as the case may be, the Company shall be deemed to have been discharged from its obligations with respect to such Securities and the provisions of this Indenture relating thereto on and after the date the conditions set forth in Section 12.04 are satisfied (hereinafter, “Defeasance”). For this purpose, such Defeasance means that the Company shall be deemed to have paid and discharged the entire indebtedness represented by such Securities, and to have satisfied all of its other obligations under such Securities and this Indenture insofar as such Securities are concerned (and the Trustee, at the expense of the Company, shall execute proper instruments acknowledging the same), subject to the following: (a) the rights of Holders of such Securities to receive, solely from the trust fund described in Section 12.04 and as more fully set forth in such Section, payments of principal of (and premium, if any) and interest on such Securities when payments are due; (b) the Company’s obligations to comply with certain provisions; (c) the rights, powers, trusts, duties and immunities of the Trustee hereunder; and (d) this Article 12.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12.03. Covenant Defeasance.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Company’s exercise of its option to have this Section applied to any Securities or any series of Securities, as the case may be, the Company shall be released from its obligations under any covenants applicable to such Securities (other than those specified in Section 10.01) on and after the date the conditions set forth in Section 12.04 are satisfied (hereinafter, “Covenant Defeasance”), and such Securities shall thereafter be deemed not to be Outstanding for the purpose of any direction, waiver, consent or declaration or Act of Holders (and the consequences of any thereof) in connection with any such covenant.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Section 12.04. Conditions to Defeasance or Covenant Defeasance.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following shall be the conditions to the application of Section 12.02 or Section 12.03 to any Securities or series of Securities, as the case may be: (a) the Company shall irrevocably have deposited or caused to be deposited with the Trustee, as trust funds in trust for the purpose of making the following payments, specifically pledged as security for, and dedicated solely to, the benefit of the Holders of such Securities, (i) money, or (ii) U.S. Government Obligations which through the scheduled payment of principal and interest in accordance with their terms will provide, without reinvestment, money, or (iii) a combination thereof, in each case, sufficient, in the opinion of a nationally recognized firm of independent public accountants expressed in a written certification thereof delivered to the Trustee, to pay and discharge the principal of (and premium, if any) and each installment of interest on the Outstanding Securities of such series on the days on which such payments are due and payable in accordance with the terms of this Indenture and of such Securities; (b) the Company shall have delivered to the Trustee an Opinion of Counsel stating that the Holders of the Outstanding Securities of such series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(c) no Event of Default or event which with notice or lapse of time or both would become an Event of Default with respect to such Securities shall have occurred and be continuing on the date of such deposit; and (d) the Company shall have satisfied any additional conditions as may be specified in the applicable Board Resolution or supplemental indenture with respect to Defeasance or Covenant Defeasance of Securities of such series.</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“U.S. Government Obligations” means securities which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which, in either case, are not callable or redeemable at the option of the issuer thereof, and shall also include a depository receipt issued by a bank (as defined in Section 3(a)(2) of the Securities Act) as custodian with respect to any such U.S. Government Obligation or a specific payment of principal of or interest on any such U.S. Government Obligation held by such custodian for the account of the holder of such depository receipt.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SUBORDINATION OF SECURITIES (APPLICABLE ONLY TO SUBORDINATED SERIES)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this Article 13 shall apply only to those Securities established as subordinated Securities pursuant to Section 3.01. For senior Securities, this Article 13 shall not apply, and the Securities of such series shall be senior unsecured obligations of the Company. The following provisions reflect a standard form of subordination that may be modified or omitted by the supplemental indenture, Board Resolution or Officers’ Certificate establishing a particular series of subordinated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13.01. Securities Subordinate to Senior Indebtedness.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covenants and agrees, and each Holder of a Security of any subordinated series, by acceptance thereof, likewise covenants and agrees, that the indebtedness represented by such Securities and the payment of the principal of (and premium, if any) and interest on each and all of the Securities of such series are hereby expressly made subordinate and subject in right of payment as provided in this Article to the prior payment in full of all Senior Indebtedness (as defined in the supplemental indenture, Board Resolution or Officers’ Certificate establishing such subordinated series).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“Senior Indebtedness” means the principal of (and premium, if any) and interest on (including interest accruing on or after the filing of any petition in bankruptcy or for reorganization relating to the Company whether or not such interest is an allowed claim in such proceeding) all indebtedness of the Company, whether outstanding on the date of this Indenture or thereafter created, incurred or assumed, unless, in the instrument creating or evidencing the same or pursuant to which the same is outstanding, it is provided that such indebtedness is not superior in right of payment to the Securities or is expressly stated to rank pari passu with or junior to the Securities.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Section 13.02. No Payment When Senior Indebtedness in Default.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payment shall be made by the Company on account of principal of (or premium, if any) or interest on the subordinated Securities, or on account of the purchase or other acquisition of such Securities, if there shall have occurred and be continuing a default in the payment of principal of (or premium, if any) or interest on any Senior Indebtedness, until such default shall have been cured or waived in writing or shall have ceased to exist or such Senior Indebtedness shall have been discharged or paid in full.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13.03. Payments to Senior Indebtedness Upon Dissolution, Etc.</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any payment by the Company or distribution of assets of the Company of any kind or character, whether in cash, property or securities, to creditors upon any dissolution, total or partial liquidation, winding-up or reorganization of the Company (whether voluntary or involuntary, or in bankruptcy, insolvency, receivership or other proceedings), all amounts due or to become due upon all Senior Indebtedness shall first be paid in full, or payment thereof in cash provided for, before any payment is made by the Company on account of the principal of (or premium, if any) or interest on the subordinated Securities.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CONVERSION OR EXCHANGE OF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14.01. Conversion or Exchange.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Debt Securities of any series may be convertible into or exchangeable for other securities of the Company or another Person (including, without limitation, Class A ordinary shares of the Company, other Debt Securities, warrants of the Company, or securities of any subsidiary or affiliate of the Company, or a combination of the foregoing), or into or for any other consideration, on the terms and subject to the conditions established by the applicable Board Resolution, Officers’ Certificate or supplemental indenture with respect to any series of Securities, including, without limitation, the conversion or exchange rate or ratio (which may be fixed or variable), the conversion or exchange price (if any), the conversion or exchange period, provisions for adjustment of the conversion or exchange rate or price (including in the event of stock splits, share dividends, recapitalizations, business combinations or similar transactions), provisions for optional or mandatory conversion or exchange, provisions for cash settlement in lieu of physical delivery of securities upon conversion or exchange, and any other terms and conditions relating thereto.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14.02. Reservation of Shares or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Debt Securities of any series are convertible into or exchangeable for Class A ordinary shares or other securities of the Company, the Company shall reserve and keep available, free from preemptive rights, out of its authorized but unissued Class A ordinary shares or other authorized securities, as applicable, a sufficient number of such shares or other securities to permit the conversion or exchange of all Outstanding Securities of such series in accordance with their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14.03. No Effect on Non-Convertible Series.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Article shall not apply to any series of Securities that is not expressly designated as convertible or exchangeable in the applicable Board Resolution, Officers’ Certificate or supplemental indenture.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15.01. Trust Indenture Act Controls.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the duties imposed by Sections 310 through 317 of the Trust Indenture Act, the imposed duties shall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15.02. Successor.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covenants and agreements in this Indenture by the Company shall bind its successors and assigns, as more fully set forth in Section 1.08.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15.03. Counterparts.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when so executed shall be deemed to be an original, but all such counterparts shall together constitute but one and the same instrument. Delivery of an executed counterpart of this Indenture by facsimile, email (including .pdf or any electronic signature) or other electronic means shall be effective as delivery of a manually executed counterpart 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15.04. Waiver of Jury Trial.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COMPANY AND THE TRUSTEE HEREBY IRREVOCABLY WAIVES, TO THE FULLEST EXTENT PERMITTED BY APPLICABLE LAW, ANY AND ALL RIGHT TO TRIAL BY JURY IN ANY LEGAL PROCEEDING ARISING OUT OF OR RELATING TO THIS INDENTURE, THE SECURITIES OR THE TRANSACTIONS CONTEMPLATED HEREBY.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15.05. Force Majeure.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 event shall the Trustee or the Company be responsible or liable for any failure or delay in the performance of its obligations hereunder (other than payment obligations of the Company with respect to the Securities) arising out of or caused by, directly or indirectly, forces beyond its control, including, without limitation, strikes, work stoppages, accidents, acts of war or terrorism, civil or military disturbances, nuclear or natural catastrophes or acts of God, epidemics or pandemics, and interruptions, loss or malfunctions of utilities, communications or computer (software and hardware) services.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as of the day and year first above written.</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NEWGENIVF GROUP LTD</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17145</wp:posOffset>
            </wp:positionV>
            <wp:extent cx="263144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[____________]</w:t>
      </w:r>
    </w:p>
    <w:p>
      <w:pPr>
        <w:spacing w:after="0" w:line="27" w:lineRule="exact"/>
        <w:rPr>
          <w:sz w:val="20"/>
          <w:szCs w:val="20"/>
          <w:color w:val="auto"/>
        </w:rPr>
      </w:pPr>
    </w:p>
    <w:p>
      <w:pPr>
        <w:ind w:left="644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[____________]</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[NAME OF TRUSTEE], as Trustee</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17145</wp:posOffset>
            </wp:positionV>
            <wp:extent cx="263144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[____________]</w:t>
      </w:r>
    </w:p>
    <w:p>
      <w:pPr>
        <w:spacing w:after="0" w:line="27" w:lineRule="exact"/>
        <w:rPr>
          <w:sz w:val="20"/>
          <w:szCs w:val="20"/>
          <w:color w:val="auto"/>
        </w:rPr>
      </w:pPr>
    </w:p>
    <w:p>
      <w:pPr>
        <w:ind w:left="644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80"/>
          </w:cols>
          <w:pgMar w:left="980" w:top="904" w:right="12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DEBT SECURITY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UNLESS THIS SECURITY IS PRESENTED BY AN AUTHORIZED REPRESENTATIVE OF DEPOSITORY TRUST COMPANY (55 WATER STREET, NEW YORK, NEW YORK) TO THE ISSUER OR ITS AGENT FOR REGISTRATION OF TRANSFER, EXCHANGE OR PAYMENT, AND ANY SECURITY ISSUED IS REGISTERED IN THE NAME OF CEDE &amp; CO. OR IN SUCH OTHER NAME AS IS REQUESTED BY AN AUTHORIZED REPRESENTATIVE OF THE DEPOSITORY TRUST COMPANY (AND ANY PAYMENT IS MADE TO CEDE &amp; CO. OR TO SUCH OTHER ENTITY AS IS REQUESTED BY AN AUTHORIZED REPRESENTATIVE OF THE DEPOSITORY TRUST COMPANY),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[Restrictive legends, if any, including any Rule 144A or Regulation S legends, will be included in the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supplemental indenture or board resolution establishing this series.]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 </w:t>
      </w:r>
      <w:r>
        <w:rPr>
          <w:rFonts w:ascii="Times New Roman" w:cs="Times New Roman" w:eastAsia="Times New Roman" w:hAnsi="Times New Roman"/>
          <w:sz w:val="18"/>
          <w:szCs w:val="18"/>
          <w:color w:val="auto"/>
        </w:rPr>
        <w:t>[______]</w:t>
      </w:r>
      <w:r>
        <w:rPr>
          <w:rFonts w:ascii="Times New Roman" w:cs="Times New Roman" w:eastAsia="Times New Roman" w:hAnsi="Times New Roman"/>
          <w:sz w:val="18"/>
          <w:szCs w:val="18"/>
          <w:b w:val="1"/>
          <w:bCs w:val="1"/>
          <w:color w:val="auto"/>
        </w:rPr>
        <w:t xml:space="preserve"> Principal Amount: </w:t>
      </w:r>
      <w:r>
        <w:rPr>
          <w:rFonts w:ascii="Times New Roman" w:cs="Times New Roman" w:eastAsia="Times New Roman" w:hAnsi="Times New Roman"/>
          <w:sz w:val="18"/>
          <w:szCs w:val="18"/>
          <w:color w:val="auto"/>
        </w:rPr>
        <w:t>$[__________]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[__________]</w:t>
      </w:r>
      <w:r>
        <w:rPr>
          <w:rFonts w:ascii="Times New Roman" w:cs="Times New Roman" w:eastAsia="Times New Roman" w:hAnsi="Times New Roman"/>
          <w:sz w:val="18"/>
          <w:szCs w:val="18"/>
          <w:b w:val="1"/>
          <w:bCs w:val="1"/>
          <w:color w:val="auto"/>
        </w:rPr>
        <w:t xml:space="preserve"> ISIN: </w:t>
      </w:r>
      <w:r>
        <w:rPr>
          <w:rFonts w:ascii="Times New Roman" w:cs="Times New Roman" w:eastAsia="Times New Roman" w:hAnsi="Times New Roman"/>
          <w:sz w:val="18"/>
          <w:szCs w:val="18"/>
          <w:color w:val="auto"/>
        </w:rPr>
        <w:t>[__________]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NEWGENIVF GROUP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[Title of Series][, including any subordination, guaranty, security or other distinguishing terms]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NewGenIvf Group Ltd, a British Virgin Islands holding company (the “Company,” which term includes any successor Person (as defined in the Indenture) under the Indenture hereinafter referred to), for value received, hereby promises to pay to [Cede &amp; Co.] or registered assigns, the principal sum of [_______________________] U.S. dollars (or such greater or lesser amount as may be set forth in the Schedule of Increases or Decreases in this Global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attached hereto) on [_____________, ____] (the “Maturity Date”), and to pay interest thereon, from [_____________, ____] or from the most</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recent Interest Payment Date to which interest has been paid or duly provided for, [semi-annually / quarterly / monthly / at maturity] in arrears on [_____________] and [_____________] in each year (each, an “Interest Payment Date”), commencing on [_____________, ____], at the rate of [____]%</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per annum, until the principal hereof is paid or duly provided for. “Business Day” means any day other than a Saturday, Sunday or a day on which banking institutions in New York, New York are authorized or obligated by law or executive order to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interest so payable, and punctually paid or duly provided for, on any Interest Payment Date will, as provided in the Indenture, be paid to the Person in whose name this Security (or one or more Predecessor Securities, as defined in the Indenture) is registered at the close of business on the Regular Record Date for such interest, which shall be the [_____________] or [_____________] (whether or not a Business Day), as the case may be, immediately</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not less than [__]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the Indenture.</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Payment of the principal of, premium, if any, and interest on this Security will be made at the office or agency of the Company maintained for that purpose in [The City of New York, State of New York], in U.S. dollars; provided, however, that, at the option of the Company, payment of interest may be made by check mailed to the address of the Person entitled thereto as such address appears in the Security Register (as defined in the Indenture), or by wire transfer to an account designated in writing by the Holder within the time periods set forth in the Indenture.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facsimile or electronic signature, this Security shall not be entitled to any benefit under the Indenture or be valid or obligatory for any purpose.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specific terms of this Security (including, without limitation, the title, aggregate principal amount, currency of payment, interest rate (or manner of determination), interest payment dates, maturity date, redemption terms, conversion or exchange terms (if any), sinking fund provisions (if any), subordination terms (if any), form (registered, bearer or global), denomination, defeasance and covenant defeasance provisions, and any other terms not inconsistent with the Indenture) shall be as established by the applicable Board Resolution, Officers’ Certificate or supplemental indenture referenced in the Indenture.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[_____________, ____]</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NEWGENIVF GROUP LTD</w:t>
      </w: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[____________]</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[____________]</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[____________]</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[____________]</w:t>
      </w: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95" w:name="page96"/>
    <w:bookmarkEnd w:id="95"/>
    <w:p>
      <w:pPr>
        <w:ind w:left="3480"/>
        <w:spacing w:after="0"/>
        <w:rPr>
          <w:sz w:val="20"/>
          <w:szCs w:val="20"/>
          <w:color w:val="auto"/>
        </w:rPr>
      </w:pPr>
      <w:r>
        <w:rPr>
          <w:rFonts w:ascii="Times New Roman" w:cs="Times New Roman" w:eastAsia="Times New Roman" w:hAnsi="Times New Roman"/>
          <w:sz w:val="18"/>
          <w:szCs w:val="18"/>
          <w:b w:val="1"/>
          <w:bCs w:val="1"/>
          <w:color w:val="auto"/>
        </w:rPr>
        <w:t>TRUSTEE’S CERTIFICATE OF AUTHENTICATION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issued under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 ____]</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[NAME OF TRUSTEE],</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as Trustee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REVERSE OF SECURITY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NEWGENIVF GROUP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[Title of Series]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(the “Securities”), issued and to be issued in one or more series under an Indenture, dated as of [_____________, ____] (as supplemented from time to time, the “Indenture”), between the Company and [Name of Trustee], as</w:t>
      </w:r>
    </w:p>
    <w:p>
      <w:pPr>
        <w:jc w:val="both"/>
        <w:spacing w:after="0" w:line="253" w:lineRule="auto"/>
        <w:rPr>
          <w:sz w:val="20"/>
          <w:szCs w:val="20"/>
          <w:color w:val="auto"/>
        </w:rPr>
      </w:pPr>
      <w:r>
        <w:rPr>
          <w:rFonts w:ascii="Times New Roman" w:cs="Times New Roman" w:eastAsia="Times New Roman" w:hAnsi="Times New Roman"/>
          <w:sz w:val="18"/>
          <w:szCs w:val="18"/>
          <w:color w:val="auto"/>
        </w:rPr>
        <w:t>trustee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the terms upon which the Securities are, and are to be, authenticated and delivered. This Security is one of the series designated on the face hereof, [initially limited in aggregate principal amount to $[___________] / unlimited in aggregate principal amount].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Securities of this series are subject to redemption at the option of the Company [and at the option of the Holders] [, in whole or in part,] [upon not less than [10] nor more than [60] days’ notice given as provided in the Indenture,] [on or after [______________, ____]] [at the redemption prices, and on the terms and conditions, set forth in the [supplemental indenture / Officers’ Certificate (as defined in the Indenture)] establishing this series].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Securities of this series are not subject to a sinking fund.] [The Securities of this series are subject to mandatory sinking-fund redemption as provided in the [supplemental indenture / Officers’ Certificate] establishing this series.]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Securities of this series are [senior unsecured / senior subordinated / subordinated] obligations of the Company. [The Securities of this series will rank pari passu with all other unsubordinated and unsecured indebtedness of the Company (subject to any obligations given preference by mandatory provisions of applicable law) and senior to any subordinated indebtedness of the Company.] [The indebtedness evidenced by this Security is, to the extent and in the manner provided in the Indenture, expressly subordinate and subject in right of payment to the prior payment in full of all Senior Indebtedness (as defined in the Indenture), whether outstanding on the date hereof or hereafter incurred, and this Security is issued subject to the provisions of the Indenture regarding such subordination. The Holder of this Security, by accepting the same, agrees to and shall be bound by such subordination provisions and authorizes and directs the Trustee on its behalf to take such action as may be necessary or appropriate to acknowledge or effectuate the subordination so provided.]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with respect to Securities of this series shall occur and be continuing, the principal of and interest accrued on the Securities of this series may be declared due and payable in the manner and with the effect provided in the Indenture.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aggregate principal amount of the Securities at the time Outstanding (as defined in the Indenture) of each series to be affected. The Indenture also contains provisions permitting the Holders of specified percentages in aggregate principal amount of the Securities of any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7" w:name="page98"/>
    <w:bookmarkEnd w:id="9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premium, if any, and interest on this Security at the times, place and rate, and in the coin or currency, herein prescribed.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interest on this Security are payable, duly endorsed by, or accompanied by a written instrument of transfer in form satisfactory to the Company and the Security Registrar (as defined in the Indenture)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of this series are issuable only in registered form without coupons in denominations of $[1,000] and integral multiples of $[1,000] in excess thereof. As provided in the Indenture and subject to certain limitations therein set forth, the Securities of this series are exchangeable for a like aggregate principal amount of Securities of this series and of like tenor of a different authorized denomination, as requested by the Holder surrendering the same.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service charge shall be made to a Holder for any such registration of transfer or exchange, but the Company may require payment of a sum sufficient to cover any tax or other governmental charge payable in connection therewith.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have the meanings ascribed to them in the Indenture. References herein to “$” or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are to the lawful currency of the United States of America.</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Security shall be governed by, and construed in accordance with, the laws of the State of New York, without regard to its conflict of laws principles.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FORM OF ASSIGNMENT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the undersigned hereby sells, assigns and transfers unto _____________________________________ this Security and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thereunder, hereby irrevocably constituting and appointing _____________________________________ as attorney to transfer this Security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books of the Company, with full power of substitution in the 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__________________________________________</w:t>
      </w:r>
    </w:p>
    <w:p>
      <w:pPr>
        <w:spacing w:after="0" w:line="22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The signature to this assignment must correspond with the name as written upon the face of the within Security in every particular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alteration or enlargement or any change whatsoever.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Signature Guarantee: </w:t>
      </w:r>
      <w:r>
        <w:rPr>
          <w:rFonts w:ascii="Times New Roman" w:cs="Times New Roman" w:eastAsia="Times New Roman" w:hAnsi="Times New Roman"/>
          <w:sz w:val="18"/>
          <w:szCs w:val="18"/>
          <w:color w:val="auto"/>
        </w:rPr>
        <w:t>___________________________ (Participant in a recognized Signature Guarantee Medallion Program (or other signature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program reasonably acceptable to the Trustee)).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164465</wp:posOffset>
            </wp:positionV>
            <wp:extent cx="1028700" cy="4711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1028700" cy="47117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NewGenIvf Group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+852 3656 6054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nathan.powell@ogier.com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+852 3656 6073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rachel.huang@ogier.com</w:t>
      </w:r>
    </w:p>
    <w:p>
      <w:pPr>
        <w:spacing w:after="0" w:line="200" w:lineRule="exact"/>
        <w:rPr>
          <w:sz w:val="20"/>
          <w:szCs w:val="20"/>
          <w:color w:val="auto"/>
        </w:rPr>
      </w:pPr>
    </w:p>
    <w:p>
      <w:pPr>
        <w:sectPr>
          <w:pgSz w:w="11900" w:h="16838" w:orient="portrait"/>
          <w:cols w:equalWidth="0" w:num="2">
            <w:col w:w="6040" w:space="720"/>
            <w:col w:w="4480"/>
          </w:cols>
          <w:pgMar w:left="320" w:top="117" w:right="339" w:bottom="1440" w:gutter="0" w:footer="0" w:header="0"/>
          <w:type w:val="continuous"/>
        </w:sectPr>
      </w:pP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Reference: NMP/RYH/509512.00027</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27 October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NewGenIvf Group Limited (Company number: 2116988) (the Company)</w:t>
      </w:r>
    </w:p>
    <w:p>
      <w:pPr>
        <w:sectPr>
          <w:pgSz w:w="11900" w:h="16838" w:orient="portrait"/>
          <w:cols w:equalWidth="0" w:num="1">
            <w:col w:w="11240"/>
          </w:cols>
          <w:pgMar w:left="320" w:top="117" w:right="339" w:bottom="1440" w:gutter="0" w:footer="0" w:header="0"/>
          <w:type w:val="continuous"/>
        </w:sectPr>
      </w:pP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been requested to provide you with an opinion on matters of British Virgin Islands law in connection with the Company’s registration statement on Form F-3, including all amendments or supplements thereto (including its exhibits,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to be filed by the Company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xml:space="preserve">) under the United States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xml:space="preserve">) to date relating to the registration of up to US$100,000,000 of the following securities to be issued by the Company from time to time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300" w:hanging="644"/>
        <w:spacing w:after="0" w:line="26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class A ordinary shares with no par value of the Company, including the underlying ordinary shares issuable upon the conversion, exchange, redemption, repurchase or exercise (as the case may be) of any Non-Equity Securities (as defined below) (the </w:t>
      </w:r>
      <w:r>
        <w:rPr>
          <w:rFonts w:ascii="Times New Roman" w:cs="Times New Roman" w:eastAsia="Times New Roman" w:hAnsi="Times New Roman"/>
          <w:sz w:val="18"/>
          <w:szCs w:val="18"/>
          <w:b w:val="1"/>
          <w:b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preferred shares to be designated by the Company, including the underlying preferred shares issuable upon the conversion, exchange, redemption, repurchase or exercise (as the case may be) of any Non-Equity Securities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xml:space="preserve">, together with the Ordinary Shares, the </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warrants to purchase Ordinary Shares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xml:space="preserve">) issuable pursuant to the terms of a warrant agreement or similar agreement to be entered into between the Company and a warrant agent for such Warrants thereunder, if any (the </w:t>
      </w:r>
      <w:r>
        <w:rPr>
          <w:rFonts w:ascii="Times New Roman" w:cs="Times New Roman" w:eastAsia="Times New Roman" w:hAnsi="Times New Roman"/>
          <w:sz w:val="18"/>
          <w:szCs w:val="18"/>
          <w:b w:val="1"/>
          <w:bCs w:val="1"/>
          <w:color w:val="auto"/>
        </w:rPr>
        <w:t>Warrant Document</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securities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xml:space="preserve">) to be issued pursuant to the applicable indenture or similar agreement to be entered into by the Company (the </w:t>
      </w:r>
      <w:r>
        <w:rPr>
          <w:rFonts w:ascii="Times New Roman" w:cs="Times New Roman" w:eastAsia="Times New Roman" w:hAnsi="Times New Roman"/>
          <w:sz w:val="18"/>
          <w:szCs w:val="18"/>
          <w:b w:val="1"/>
          <w:bCs w:val="1"/>
          <w:color w:val="auto"/>
        </w:rPr>
        <w:t>Debt Document</w:t>
      </w:r>
      <w:r>
        <w:rPr>
          <w:rFonts w:ascii="Times New Roman" w:cs="Times New Roman" w:eastAsia="Times New Roman" w:hAnsi="Times New Roman"/>
          <w:sz w:val="18"/>
          <w:szCs w:val="18"/>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Ogier</w:t>
            </w:r>
          </w:p>
        </w:tc>
        <w:tc>
          <w:tcPr>
            <w:tcW w:w="18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20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Providing advice on British Virgin Islands, Cayman</w:t>
            </w:r>
          </w:p>
        </w:tc>
        <w:tc>
          <w:tcPr>
            <w:tcW w:w="180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Islands and Guernsey laws</w:t>
            </w: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Nicholas Plowman</w:t>
            </w:r>
          </w:p>
        </w:tc>
        <w:tc>
          <w:tcPr>
            <w:tcW w:w="2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Yuki Yan</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40" w:type="dxa"/>
            <w:vAlign w:val="bottom"/>
          </w:tcPr>
          <w:p>
            <w:pPr>
              <w:spacing w:after="0"/>
              <w:rPr>
                <w:sz w:val="8"/>
                <w:szCs w:val="8"/>
                <w:color w:val="auto"/>
              </w:rPr>
            </w:pPr>
          </w:p>
        </w:tc>
        <w:tc>
          <w:tcPr>
            <w:tcW w:w="18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Nathan Powell</w:t>
            </w:r>
          </w:p>
        </w:tc>
        <w:tc>
          <w:tcPr>
            <w:tcW w:w="2000" w:type="dxa"/>
            <w:vAlign w:val="bottom"/>
            <w:vMerge w:val="continue"/>
          </w:tcPr>
          <w:p>
            <w:pPr>
              <w:spacing w:after="0"/>
              <w:rPr>
                <w:sz w:val="8"/>
                <w:szCs w:val="8"/>
                <w:color w:val="auto"/>
              </w:rPr>
            </w:pPr>
          </w:p>
        </w:tc>
        <w:tc>
          <w:tcPr>
            <w:tcW w:w="3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84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2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David Lin</w:t>
            </w:r>
          </w:p>
        </w:tc>
        <w:tc>
          <w:tcPr>
            <w:tcW w:w="3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Floor 11 Central Tower</w:t>
            </w:r>
          </w:p>
        </w:tc>
        <w:tc>
          <w:tcPr>
            <w:tcW w:w="18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Anthony Oakes</w:t>
            </w:r>
          </w:p>
        </w:tc>
        <w:tc>
          <w:tcPr>
            <w:tcW w:w="2000" w:type="dxa"/>
            <w:vAlign w:val="bottom"/>
            <w:vMerge w:val="continue"/>
          </w:tcPr>
          <w:p>
            <w:pPr>
              <w:spacing w:after="0"/>
              <w:rPr>
                <w:sz w:val="8"/>
                <w:szCs w:val="8"/>
                <w:color w:val="auto"/>
              </w:rPr>
            </w:pPr>
          </w:p>
        </w:tc>
        <w:tc>
          <w:tcPr>
            <w:tcW w:w="3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84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2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Alan Wong</w:t>
            </w:r>
          </w:p>
        </w:tc>
        <w:tc>
          <w:tcPr>
            <w:tcW w:w="3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28 Queen’s Road Central</w:t>
            </w:r>
          </w:p>
        </w:tc>
        <w:tc>
          <w:tcPr>
            <w:tcW w:w="18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Oliver Payne</w:t>
            </w:r>
          </w:p>
        </w:tc>
        <w:tc>
          <w:tcPr>
            <w:tcW w:w="2000" w:type="dxa"/>
            <w:vAlign w:val="bottom"/>
            <w:vMerge w:val="continue"/>
          </w:tcPr>
          <w:p>
            <w:pPr>
              <w:spacing w:after="0"/>
              <w:rPr>
                <w:sz w:val="8"/>
                <w:szCs w:val="8"/>
                <w:color w:val="auto"/>
              </w:rPr>
            </w:pPr>
          </w:p>
        </w:tc>
        <w:tc>
          <w:tcPr>
            <w:tcW w:w="3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84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2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Janice Chu</w:t>
            </w:r>
          </w:p>
        </w:tc>
        <w:tc>
          <w:tcPr>
            <w:tcW w:w="3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Central</w:t>
            </w:r>
          </w:p>
        </w:tc>
        <w:tc>
          <w:tcPr>
            <w:tcW w:w="18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Kate Hodson</w:t>
            </w:r>
          </w:p>
        </w:tc>
        <w:tc>
          <w:tcPr>
            <w:tcW w:w="2000" w:type="dxa"/>
            <w:vAlign w:val="bottom"/>
            <w:vMerge w:val="continue"/>
          </w:tcPr>
          <w:p>
            <w:pPr>
              <w:spacing w:after="0"/>
              <w:rPr>
                <w:sz w:val="8"/>
                <w:szCs w:val="8"/>
                <w:color w:val="auto"/>
              </w:rPr>
            </w:pPr>
          </w:p>
        </w:tc>
        <w:tc>
          <w:tcPr>
            <w:tcW w:w="3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84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2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Zhao Rong Ooi</w:t>
            </w:r>
          </w:p>
        </w:tc>
        <w:tc>
          <w:tcPr>
            <w:tcW w:w="3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Hong Kong</w:t>
            </w:r>
          </w:p>
        </w:tc>
        <w:tc>
          <w:tcPr>
            <w:tcW w:w="18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David Nelson</w:t>
            </w:r>
          </w:p>
        </w:tc>
        <w:tc>
          <w:tcPr>
            <w:tcW w:w="2000" w:type="dxa"/>
            <w:vAlign w:val="bottom"/>
            <w:vMerge w:val="continue"/>
          </w:tcPr>
          <w:p>
            <w:pPr>
              <w:spacing w:after="0"/>
              <w:rPr>
                <w:sz w:val="8"/>
                <w:szCs w:val="8"/>
                <w:color w:val="auto"/>
              </w:rPr>
            </w:pPr>
          </w:p>
        </w:tc>
        <w:tc>
          <w:tcPr>
            <w:tcW w:w="3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84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2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Rachel Huang**</w:t>
            </w:r>
          </w:p>
        </w:tc>
        <w:tc>
          <w:tcPr>
            <w:tcW w:w="3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840" w:type="dxa"/>
            <w:vAlign w:val="bottom"/>
          </w:tcPr>
          <w:p>
            <w:pPr>
              <w:spacing w:after="0"/>
              <w:rPr>
                <w:sz w:val="8"/>
                <w:szCs w:val="8"/>
                <w:color w:val="auto"/>
              </w:rPr>
            </w:pPr>
          </w:p>
        </w:tc>
        <w:tc>
          <w:tcPr>
            <w:tcW w:w="18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Justin Davis</w:t>
            </w:r>
          </w:p>
        </w:tc>
        <w:tc>
          <w:tcPr>
            <w:tcW w:w="2000" w:type="dxa"/>
            <w:vAlign w:val="bottom"/>
            <w:vMerge w:val="continue"/>
          </w:tcPr>
          <w:p>
            <w:pPr>
              <w:spacing w:after="0"/>
              <w:rPr>
                <w:sz w:val="8"/>
                <w:szCs w:val="8"/>
                <w:color w:val="auto"/>
              </w:rPr>
            </w:pPr>
          </w:p>
        </w:tc>
        <w:tc>
          <w:tcPr>
            <w:tcW w:w="3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84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2000" w:type="dxa"/>
            <w:vAlign w:val="bottom"/>
            <w:vMerge w:val="restart"/>
          </w:tcPr>
          <w:p>
            <w:pPr>
              <w:ind w:left="340"/>
              <w:spacing w:after="0" w:line="298" w:lineRule="exact"/>
              <w:rPr>
                <w:sz w:val="20"/>
                <w:szCs w:val="20"/>
                <w:color w:val="auto"/>
              </w:rPr>
            </w:pPr>
            <w:r>
              <w:rPr>
                <w:rFonts w:ascii="Times New Roman" w:cs="Times New Roman" w:eastAsia="Times New Roman" w:hAnsi="Times New Roman"/>
                <w:sz w:val="18"/>
                <w:szCs w:val="18"/>
                <w:color w:val="auto"/>
              </w:rPr>
              <w:t>Florence Chan*</w:t>
            </w:r>
            <w:r>
              <w:rPr>
                <w:rFonts w:ascii="Times New Roman" w:cs="Times New Roman" w:eastAsia="Times New Roman" w:hAnsi="Times New Roman"/>
                <w:sz w:val="29"/>
                <w:szCs w:val="29"/>
                <w:color w:val="auto"/>
                <w:vertAlign w:val="superscript"/>
              </w:rPr>
              <w:t>‡</w:t>
            </w:r>
          </w:p>
        </w:tc>
        <w:tc>
          <w:tcPr>
            <w:tcW w:w="36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 admitted in New Zealand</w:t>
            </w:r>
          </w:p>
        </w:tc>
        <w:tc>
          <w:tcPr>
            <w:tcW w:w="0" w:type="dxa"/>
            <w:vAlign w:val="bottom"/>
          </w:tcPr>
          <w:p>
            <w:pPr>
              <w:spacing w:after="0"/>
              <w:rPr>
                <w:sz w:val="1"/>
                <w:szCs w:val="1"/>
                <w:color w:val="auto"/>
              </w:rPr>
            </w:pPr>
          </w:p>
        </w:tc>
      </w:tr>
      <w:tr>
        <w:trPr>
          <w:trHeight w:val="180"/>
        </w:trPr>
        <w:tc>
          <w:tcPr>
            <w:tcW w:w="38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 +852 3656 6000</w:t>
            </w:r>
          </w:p>
        </w:tc>
        <w:tc>
          <w:tcPr>
            <w:tcW w:w="180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Joanne Collett</w:t>
            </w:r>
          </w:p>
        </w:tc>
        <w:tc>
          <w:tcPr>
            <w:tcW w:w="2000" w:type="dxa"/>
            <w:vAlign w:val="bottom"/>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 +852 3656 6001</w:t>
            </w: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Dennis Li</w:t>
            </w:r>
          </w:p>
        </w:tc>
        <w:tc>
          <w:tcPr>
            <w:tcW w:w="20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Richard Bennett**</w:t>
            </w:r>
            <w:r>
              <w:rPr>
                <w:rFonts w:ascii="Times New Roman" w:cs="Times New Roman" w:eastAsia="Times New Roman" w:hAnsi="Times New Roman"/>
                <w:sz w:val="25"/>
                <w:szCs w:val="25"/>
                <w:color w:val="auto"/>
                <w:vertAlign w:val="superscript"/>
              </w:rPr>
              <w:t>‡</w:t>
            </w: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admitted in England and Wales</w:t>
            </w:r>
          </w:p>
        </w:tc>
        <w:tc>
          <w:tcPr>
            <w:tcW w:w="0" w:type="dxa"/>
            <w:vAlign w:val="bottom"/>
          </w:tcPr>
          <w:p>
            <w:pPr>
              <w:spacing w:after="0"/>
              <w:rPr>
                <w:sz w:val="1"/>
                <w:szCs w:val="1"/>
                <w:color w:val="auto"/>
              </w:rPr>
            </w:pPr>
          </w:p>
        </w:tc>
      </w:tr>
      <w:tr>
        <w:trPr>
          <w:trHeight w:val="394"/>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ogier.com</w:t>
            </w: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Cecilia Li</w:t>
            </w:r>
          </w:p>
        </w:tc>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James Bergstrom</w:t>
            </w:r>
            <w:r>
              <w:rPr>
                <w:rFonts w:ascii="Times New Roman" w:cs="Times New Roman" w:eastAsia="Times New Roman" w:hAnsi="Times New Roman"/>
                <w:sz w:val="29"/>
                <w:szCs w:val="29"/>
                <w:color w:val="auto"/>
                <w:vertAlign w:val="superscript"/>
              </w:rPr>
              <w:t>‡</w:t>
            </w:r>
          </w:p>
        </w:tc>
        <w:tc>
          <w:tcPr>
            <w:tcW w:w="3600" w:type="dxa"/>
            <w:vAlign w:val="bottom"/>
          </w:tcPr>
          <w:p>
            <w:pPr>
              <w:ind w:left="240"/>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not ordinarily resident in Hong Kong</w:t>
            </w:r>
          </w:p>
        </w:tc>
        <w:tc>
          <w:tcPr>
            <w:tcW w:w="0" w:type="dxa"/>
            <w:vAlign w:val="bottom"/>
          </w:tcPr>
          <w:p>
            <w:pPr>
              <w:spacing w:after="0"/>
              <w:rPr>
                <w:sz w:val="1"/>
                <w:szCs w:val="1"/>
                <w:color w:val="auto"/>
              </w:rPr>
            </w:pPr>
          </w:p>
        </w:tc>
      </w:tr>
      <w:tr>
        <w:trPr>
          <w:trHeight w:val="531"/>
        </w:trPr>
        <w:tc>
          <w:tcPr>
            <w:tcW w:w="38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type w:val="continuous"/>
        </w:sectPr>
      </w:pPr>
    </w:p>
    <w:bookmarkStart w:id="100" w:name="page101"/>
    <w:bookmarkEnd w:id="100"/>
    <w:p>
      <w:pPr>
        <w:ind w:left="1300" w:hanging="644"/>
        <w:spacing w:after="0" w:line="286"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subscription rights to purchase Ordinary Shares (the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xml:space="preserve">) to be issued under a rights agreement or similar agreement to be entered into between the Company and one or more rights agent, if any (the </w:t>
      </w:r>
      <w:r>
        <w:rPr>
          <w:rFonts w:ascii="Times New Roman" w:cs="Times New Roman" w:eastAsia="Times New Roman" w:hAnsi="Times New Roman"/>
          <w:sz w:val="18"/>
          <w:szCs w:val="18"/>
          <w:b w:val="1"/>
          <w:bCs w:val="1"/>
          <w:color w:val="auto"/>
        </w:rPr>
        <w:t>Rights Document</w:t>
      </w:r>
      <w:r>
        <w:rPr>
          <w:rFonts w:ascii="Times New Roman" w:cs="Times New Roman" w:eastAsia="Times New Roman" w:hAnsi="Times New Roman"/>
          <w:sz w:val="18"/>
          <w:szCs w:val="18"/>
          <w:color w:val="auto"/>
        </w:rPr>
        <w:t>); and/or</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units comprising one or more of Equity Securities, Warrants, Debt Securities, Rights or other securities of the Company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xml:space="preserve">) to be issued under a unit agreement or similar agreement between the Company and a unit agent to be specified therein, if any (the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Warrant Document, Debt Document, Rights Document and Unit Document are referred to herein collectively as </w:t>
      </w:r>
      <w:r>
        <w:rPr>
          <w:rFonts w:ascii="Times New Roman" w:cs="Times New Roman" w:eastAsia="Times New Roman" w:hAnsi="Times New Roman"/>
          <w:sz w:val="18"/>
          <w:szCs w:val="18"/>
          <w:b w:val="1"/>
          <w:bCs w:val="1"/>
          <w:color w:val="auto"/>
        </w:rPr>
        <w:t>Governing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Warrants, the Debt Securities, the Rights and the Units are collectively referred to herein as the </w:t>
      </w:r>
      <w:r>
        <w:rPr>
          <w:rFonts w:ascii="Times New Roman" w:cs="Times New Roman" w:eastAsia="Times New Roman" w:hAnsi="Times New Roman"/>
          <w:sz w:val="18"/>
          <w:szCs w:val="18"/>
          <w:b w:val="1"/>
          <w:bCs w:val="1"/>
          <w:color w:val="auto"/>
        </w:rPr>
        <w:t>Non-Equity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advised that the Securities are to be offered on a delayed basis pursuant to Rule 415 under the Act, as set forth in the Registration Statement, and that this opinion is required to be furnished in accordance with the requirements of Item 601 (b)(5) of Regulation S-K under the Act. No opinion is expressed herein as to any matter pertaining to the contents of the Registration Statement other than as expressly stated herein with respect to the issue of the Securities.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a contrary intention appears, all capitalised terms used in this opinion have the respective meanings set forth in the Documents. A reference to a Schedule is a reference to a schedule to this opinion and the headings herein are for convenience only and do not affect the construction of this opinion.</w:t>
      </w:r>
    </w:p>
    <w:p>
      <w:pPr>
        <w:spacing w:after="0" w:line="158"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examined</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the purposes of giving this opinion, we have examined originals, copies or drafts of the documents set out below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In addition, we have examined the corporate and other documents and conducted the searches listed below. We have not made any searches or enquiries concerning, and have not examined any documents entered into by or affecting the Company or any other person, save for the searches, enquiries and examinations expressly referred to below:</w:t>
      </w:r>
    </w:p>
    <w:p>
      <w:pPr>
        <w:spacing w:after="0" w:line="180"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constitutional documents and public records of the Company obtained from the Registry of Corporate Affairs in the British Virgin Islands on 3 July 2024 (the </w:t>
      </w:r>
      <w:r>
        <w:rPr>
          <w:rFonts w:ascii="Times New Roman" w:cs="Times New Roman" w:eastAsia="Times New Roman" w:hAnsi="Times New Roman"/>
          <w:sz w:val="18"/>
          <w:szCs w:val="18"/>
          <w:b w:val="1"/>
          <w:bCs w:val="1"/>
          <w:color w:val="auto"/>
        </w:rPr>
        <w:t>Company Registry Records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public information revealed from a search of the electronic records of the Civil Division and the Commercial Division of the Registry of the High Court and of the Court of Appeal (Virgin Islands) Register, each from 1 January 2000, as maintained on the Judicial Enforcement Management System (the </w:t>
      </w:r>
      <w:r>
        <w:rPr>
          <w:rFonts w:ascii="Times New Roman" w:cs="Times New Roman" w:eastAsia="Times New Roman" w:hAnsi="Times New Roman"/>
          <w:sz w:val="18"/>
          <w:szCs w:val="18"/>
          <w:b w:val="1"/>
          <w:bCs w:val="1"/>
          <w:color w:val="auto"/>
        </w:rPr>
        <w:t>High Court Database</w:t>
      </w:r>
      <w:r>
        <w:rPr>
          <w:rFonts w:ascii="Times New Roman" w:cs="Times New Roman" w:eastAsia="Times New Roman" w:hAnsi="Times New Roman"/>
          <w:sz w:val="18"/>
          <w:szCs w:val="18"/>
          <w:color w:val="auto"/>
        </w:rPr>
        <w:t xml:space="preserve">) by the Registry of the High Court of the Virgin Islands on 3 July 2024 (the </w:t>
      </w:r>
      <w:r>
        <w:rPr>
          <w:rFonts w:ascii="Times New Roman" w:cs="Times New Roman" w:eastAsia="Times New Roman" w:hAnsi="Times New Roman"/>
          <w:sz w:val="18"/>
          <w:szCs w:val="18"/>
          <w:b w:val="1"/>
          <w:bCs w:val="1"/>
          <w:color w:val="auto"/>
        </w:rPr>
        <w:t>Court Records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Registry Records and the Court Records each as updated by update searches on 26 October 2026 (the Company Registry Records and the Court Records together, and as updated, the </w:t>
      </w:r>
      <w:r>
        <w:rPr>
          <w:rFonts w:ascii="Times New Roman" w:cs="Times New Roman" w:eastAsia="Times New Roman" w:hAnsi="Times New Roman"/>
          <w:sz w:val="18"/>
          <w:szCs w:val="18"/>
          <w:b w:val="1"/>
          <w:bCs w:val="1"/>
          <w:color w:val="auto"/>
        </w:rPr>
        <w:t>Public Records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incumbency in respect of the Company dated 30 September 2026 (the </w:t>
      </w:r>
      <w:r>
        <w:rPr>
          <w:rFonts w:ascii="Times New Roman" w:cs="Times New Roman" w:eastAsia="Times New Roman" w:hAnsi="Times New Roman"/>
          <w:sz w:val="18"/>
          <w:szCs w:val="18"/>
          <w:b w:val="1"/>
          <w:bCs w:val="1"/>
          <w:color w:val="auto"/>
        </w:rPr>
        <w:t>Certificate of Incumbency</w:t>
      </w:r>
      <w:r>
        <w:rPr>
          <w:rFonts w:ascii="Times New Roman" w:cs="Times New Roman" w:eastAsia="Times New Roman" w:hAnsi="Times New Roman"/>
          <w:sz w:val="18"/>
          <w:szCs w:val="18"/>
          <w:color w:val="auto"/>
        </w:rPr>
        <w:t>) issued by the registered agent of the Company;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ind w:left="1300" w:hanging="644"/>
        <w:spacing w:after="0" w:line="286"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good standing dated 30 September 2026 (the </w:t>
      </w:r>
      <w:r>
        <w:rPr>
          <w:rFonts w:ascii="Times New Roman" w:cs="Times New Roman" w:eastAsia="Times New Roman" w:hAnsi="Times New Roman"/>
          <w:sz w:val="18"/>
          <w:szCs w:val="18"/>
          <w:b w:val="1"/>
          <w:bCs w:val="1"/>
          <w:color w:val="auto"/>
        </w:rPr>
        <w:t>Good Standing Certificate</w:t>
      </w:r>
      <w:r>
        <w:rPr>
          <w:rFonts w:ascii="Times New Roman" w:cs="Times New Roman" w:eastAsia="Times New Roman" w:hAnsi="Times New Roman"/>
          <w:sz w:val="18"/>
          <w:szCs w:val="18"/>
          <w:color w:val="auto"/>
        </w:rPr>
        <w:t>) issued by the Registry of Corporate Affairs in the British Virgin Islands in respect of the Company;</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register of directors of the Company dated 26 June 2026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unanimous written resolutions of the directors of the Company passed on 27 October 2026 (the </w:t>
      </w:r>
      <w:r>
        <w:rPr>
          <w:rFonts w:ascii="Times New Roman" w:cs="Times New Roman" w:eastAsia="Times New Roman" w:hAnsi="Times New Roman"/>
          <w:sz w:val="18"/>
          <w:szCs w:val="18"/>
          <w:b w:val="1"/>
          <w:bCs w:val="1"/>
          <w:color w:val="auto"/>
        </w:rPr>
        <w:t>Board Resolutions</w:t>
      </w:r>
      <w:r>
        <w:rPr>
          <w:rFonts w:ascii="Times New Roman" w:cs="Times New Roman" w:eastAsia="Times New Roman" w:hAnsi="Times New Roman"/>
          <w:sz w:val="18"/>
          <w:szCs w:val="18"/>
          <w:color w:val="auto"/>
        </w:rPr>
        <w:t>); and</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1"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giving this opinion we have relied upon the assumptions set forth in Schedule 1 without having carried out any independent investigation or verification in respect of those assumptions.</w:t>
      </w:r>
    </w:p>
    <w:p>
      <w:pPr>
        <w:spacing w:after="0" w:line="158"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basis of the examinations and assumptions referred to above and subject to the qualifications set forth in Schedule 2 and the limitations set forth below, we are of the opinion that:</w:t>
      </w:r>
    </w:p>
    <w:p>
      <w:pPr>
        <w:spacing w:after="0" w:line="15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status</w:t>
      </w:r>
    </w:p>
    <w:p>
      <w:pPr>
        <w:spacing w:after="0" w:line="225" w:lineRule="exact"/>
        <w:rPr>
          <w:rFonts w:ascii="Times New Roman" w:cs="Times New Roman" w:eastAsia="Times New Roman" w:hAnsi="Times New Roman"/>
          <w:sz w:val="18"/>
          <w:szCs w:val="18"/>
          <w:b w:val="1"/>
          <w:bCs w:val="1"/>
          <w:color w:val="auto"/>
        </w:rPr>
      </w:pPr>
    </w:p>
    <w:p>
      <w:pPr>
        <w:jc w:val="both"/>
        <w:ind w:left="1300" w:hanging="644"/>
        <w:spacing w:after="0" w:line="268"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a company duly incorporated with limited liability under the BVI Business Companies Act, 2004 (the </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on 26 January 2023, and is validly existing and, based solely on the Good Standing Certificate, is in good standing under the laws of the British Virgin Islands. It is a separate legal entity and subject to suit in its own name and has the capacity to sue in its own name.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Issuance of shares</w:t>
      </w:r>
    </w:p>
    <w:p>
      <w:pPr>
        <w:spacing w:after="0" w:line="229"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Ordinary Shares, when:</w:t>
      </w:r>
    </w:p>
    <w:p>
      <w:pPr>
        <w:spacing w:after="0" w:line="221" w:lineRule="exact"/>
        <w:rPr>
          <w:rFonts w:ascii="Times New Roman" w:cs="Times New Roman" w:eastAsia="Times New Roman" w:hAnsi="Times New Roman"/>
          <w:sz w:val="18"/>
          <w:szCs w:val="18"/>
          <w:color w:val="auto"/>
        </w:rPr>
      </w:pPr>
    </w:p>
    <w:p>
      <w:pPr>
        <w:ind w:left="1960" w:hanging="656"/>
        <w:spacing w:after="0" w:line="286"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taken all necessary corporate actions to approve the issuance and allotment of the Ordinary Shares, the terms of the offering of the Ordinary Shares and all related matters;</w:t>
      </w:r>
    </w:p>
    <w:p>
      <w:pPr>
        <w:spacing w:after="0" w:line="158"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(A) the provisions of the applicable definitive purchase, underwriting or similar agreement approved by the Board have been satisfied and payment of the consideration specified therein (being not less than the par value of the Ordinary Shares) has been made, or (B) if such Ordinary Shares are issuable upon conversion, exchange, redemption, repurchase or exercise of any other security, the terms of such security, the memorandum and articles of association of the Company (the </w:t>
      </w:r>
      <w:r>
        <w:rPr>
          <w:rFonts w:ascii="Times New Roman" w:cs="Times New Roman" w:eastAsia="Times New Roman" w:hAnsi="Times New Roman"/>
          <w:sz w:val="18"/>
          <w:szCs w:val="18"/>
          <w:b w:val="1"/>
          <w:bCs w:val="1"/>
          <w:color w:val="auto"/>
        </w:rPr>
        <w:t>Memorandum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or the instrument governing such security providing for such conversion, exchange, redemption, repurchase or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Ordinary Shares, as approved by the Board, have been satisfied and the consideration approved by the Board (being not less than the par value of the Ordinary Shares) received;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ind w:left="1304" w:hanging="656"/>
        <w:spacing w:after="0" w:line="282" w:lineRule="auto"/>
        <w:tabs>
          <w:tab w:leader="none" w:pos="130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entry has been made in the register of members of the Company reflecting such issuance of Ordinary Shares, in each case in accordance with the Memorandum and Articles,</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the Ordinary Shares will be recognised as having been duly authorised and validly issued, fully paid and non-assessable.</w:t>
      </w:r>
    </w:p>
    <w:p>
      <w:pPr>
        <w:spacing w:after="0" w:line="225" w:lineRule="exact"/>
        <w:rPr>
          <w:sz w:val="20"/>
          <w:szCs w:val="20"/>
          <w:color w:val="auto"/>
        </w:rPr>
      </w:pPr>
    </w:p>
    <w:p>
      <w:pPr>
        <w:ind w:left="644" w:hanging="644"/>
        <w:spacing w:after="0"/>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Preferred Shares, when:</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the shareholders of the Company have taken all necessary corporate actions to approve the creation, issuance and the terms of the Preferred Shares, the terms of the offering of the Preferred Shares and all related matters;</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56" w:lineRule="auto"/>
        <w:tabs>
          <w:tab w:leader="none" w:pos="130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provisions of the applicable definitive purchase, underwriting or similar agreement approved by the Board have been satisfied and payment of the consideration specified therein (being not less than the par value of the Preferred Shares) has been made, or (B) if such Preferred Shares are issuable upon conversion, exchange, redemption, repurchase or exercise of any other security, the terms of such security, the Memorandum and Articles or the instrument governing such security providing for such conversion, exchange, redemption, repurchase or exercise for Preferred Shares, as approved by the Board, have been satisfied and the consideration approved by the Board (being not less than the par value of the Preferred Shares) received;</w:t>
      </w:r>
    </w:p>
    <w:p>
      <w:pPr>
        <w:spacing w:after="0" w:line="187"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entry has been made in the register of members of the Company reflecting such issuance of Preferred Shares, in each case in accordance with the Memorandum and Articles,</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the Preferred Shares will be recognised as having been duly authorised and validly issued, fully paid and non-assessable.</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Valid Issuance of Warrants</w:t>
      </w:r>
    </w:p>
    <w:p>
      <w:pPr>
        <w:spacing w:after="0" w:line="229" w:lineRule="exact"/>
        <w:rPr>
          <w:sz w:val="20"/>
          <w:szCs w:val="20"/>
          <w:color w:val="auto"/>
        </w:rPr>
      </w:pPr>
    </w:p>
    <w:p>
      <w:pPr>
        <w:ind w:left="644" w:hanging="644"/>
        <w:spacing w:after="0"/>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Warrants to be issued, when:</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taken all necessary corporate actions to authorise and approve the creation and terms of the Warrants and to approve the issue thereof, the terms of the offering thereof and all related matters;</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 Document relating to the Warrants shall have been duly authorized and validly executed and unconditionally delivered by the Company and the warrant agent thereunder; and</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representing the Warrants have been duly executed, countersigned, registered and delivered in accordance with the Warrant Document relating to the Warrants and the applicable definitive purchase, underwriting or similar agreement approved by the Board upon payment of the consideration therefor provided therein,</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the Warrants will be duly authorized and validly issued and will constitute legal, valid and binding obligations of the Company.</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3" w:name="page104"/>
    <w:bookmarkEnd w:id="103"/>
    <w:p>
      <w:pPr>
        <w:ind w:left="4"/>
        <w:spacing w:after="0"/>
        <w:rPr>
          <w:sz w:val="20"/>
          <w:szCs w:val="20"/>
          <w:color w:val="auto"/>
        </w:rPr>
      </w:pPr>
      <w:r>
        <w:rPr>
          <w:rFonts w:ascii="Times New Roman" w:cs="Times New Roman" w:eastAsia="Times New Roman" w:hAnsi="Times New Roman"/>
          <w:sz w:val="18"/>
          <w:szCs w:val="18"/>
          <w:b w:val="1"/>
          <w:bCs w:val="1"/>
          <w:color w:val="auto"/>
        </w:rPr>
        <w:t>Issuance of Debt Securities</w:t>
      </w:r>
    </w:p>
    <w:p>
      <w:pPr>
        <w:spacing w:after="0" w:line="229" w:lineRule="exact"/>
        <w:rPr>
          <w:sz w:val="20"/>
          <w:szCs w:val="20"/>
          <w:color w:val="auto"/>
        </w:rPr>
      </w:pPr>
    </w:p>
    <w:p>
      <w:pPr>
        <w:ind w:left="644" w:hanging="644"/>
        <w:spacing w:after="0"/>
        <w:tabs>
          <w:tab w:leader="none" w:pos="6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Debt Securities to be issued, when:</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taken all necessary corporate actions to authorise and approve the creation and terms of the Debt Securities and to approve the issue thereof, the terms of the offering thereof and all related matters;</w:t>
      </w:r>
    </w:p>
    <w:p>
      <w:pPr>
        <w:spacing w:after="0" w:line="161"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Document relating to the Debt Securities shall have been duly authorized and validly executed and unconditionally delivered by and on behalf of the Company and all the relevant parties thereunder; and</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issued thereunder have been duly executed and delivered on behalf of the Company and authenticated in the manner set forth in the applicable Debt Document relating to such issue of Debt Securities and delivered against due payment therefor pursuant to, and in accordance with, the terms of the Registration Statement and any relevant prospectus supplement,</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the Debt Securities will have been duly executed, issued and delivered.</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Valid Issuance of Rights</w:t>
      </w:r>
    </w:p>
    <w:p>
      <w:pPr>
        <w:spacing w:after="0" w:line="229" w:lineRule="exact"/>
        <w:rPr>
          <w:sz w:val="20"/>
          <w:szCs w:val="20"/>
          <w:color w:val="auto"/>
        </w:rPr>
      </w:pPr>
    </w:p>
    <w:p>
      <w:pPr>
        <w:ind w:left="644" w:hanging="644"/>
        <w:spacing w:after="0"/>
        <w:tabs>
          <w:tab w:leader="none" w:pos="6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Rights to be issued, when:</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taken all necessary corporate actions to authorise and approve the creation and terms of the Rights and to approve the issue thereof, the terms of the offering thereof and all related matters;</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Rights Document relating to the Rights shall have been duly authorised and validly executed and unconditionally delivered by the Company and the financial institution designated as rights agent thereunder; and</w:t>
      </w:r>
    </w:p>
    <w:p>
      <w:pPr>
        <w:spacing w:after="0" w:line="161" w:lineRule="exact"/>
        <w:rPr>
          <w:rFonts w:ascii="Times New Roman" w:cs="Times New Roman" w:eastAsia="Times New Roman" w:hAnsi="Times New Roman"/>
          <w:sz w:val="18"/>
          <w:szCs w:val="18"/>
          <w:color w:val="auto"/>
        </w:rPr>
      </w:pPr>
    </w:p>
    <w:p>
      <w:pPr>
        <w:jc w:val="both"/>
        <w:ind w:left="1304" w:right="20" w:hanging="656"/>
        <w:spacing w:after="0" w:line="266" w:lineRule="auto"/>
        <w:tabs>
          <w:tab w:leader="none" w:pos="13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representing the Rights shall have been duly executed, countersigned, issued, registered and delivered in accordance with the Rights Document relating to the Rights, and the applicable definitive purchase, underwriting or similar agreement approved by the Board upon payment of the consideration therefor provided therein,</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the Rights will be duly authorised and validly issued and will constitute legal, valid and binding obligations of the Company.</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Valid Issuance of Units</w:t>
      </w:r>
    </w:p>
    <w:p>
      <w:pPr>
        <w:spacing w:after="0" w:line="229" w:lineRule="exact"/>
        <w:rPr>
          <w:sz w:val="20"/>
          <w:szCs w:val="20"/>
          <w:color w:val="auto"/>
        </w:rPr>
      </w:pPr>
    </w:p>
    <w:p>
      <w:pPr>
        <w:ind w:left="644" w:hanging="644"/>
        <w:spacing w:after="0"/>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issue of Units, when:</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taken all necessary corporate actions to authorise and approve the creation and terms of the Units and to approve the issue of the Securities which are components thereof, the terms of the offering thereof and all related matters;</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04" w:name="page105"/>
    <w:bookmarkEnd w:id="104"/>
    <w:p>
      <w:pPr>
        <w:ind w:left="1304" w:right="20" w:hanging="656"/>
        <w:spacing w:after="0" w:line="282" w:lineRule="auto"/>
        <w:tabs>
          <w:tab w:leader="none" w:pos="130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 Document relating to the Units shall have been duly authorised and validly executed and unconditionally delivered by the Company and the financial institution designated as unit agent thereunder;</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Warrants which are components of the Units, a Warrant Document shall have been duly authorized and validly executed and unconditionally delivered by the Company and the warrant agent thereunder, if any, in respect of any Warrants which are components of the Units;</w:t>
      </w:r>
    </w:p>
    <w:p>
      <w:pPr>
        <w:spacing w:after="0" w:line="17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Debt Securities which are components of the Units, the Debt Document shall have been duly authorized and validly executed and unconditionally delivered by the Company and all relevant parties thereunder;</w:t>
      </w:r>
    </w:p>
    <w:p>
      <w:pPr>
        <w:spacing w:after="0" w:line="161" w:lineRule="exact"/>
        <w:rPr>
          <w:rFonts w:ascii="Times New Roman" w:cs="Times New Roman" w:eastAsia="Times New Roman" w:hAnsi="Times New Roman"/>
          <w:sz w:val="18"/>
          <w:szCs w:val="18"/>
          <w:color w:val="auto"/>
        </w:rPr>
      </w:pPr>
    </w:p>
    <w:p>
      <w:pPr>
        <w:jc w:val="both"/>
        <w:ind w:left="1304" w:right="20" w:hanging="656"/>
        <w:spacing w:after="0" w:line="266" w:lineRule="auto"/>
        <w:tabs>
          <w:tab w:leader="none" w:pos="130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Equity Securities which are components of the Units, valid entry has been made in the register of members of the Company reflecting such issuance of the Equity Securities, in each case in accordance with the Memorandum and Articles; and</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55" w:lineRule="auto"/>
        <w:tabs>
          <w:tab w:leader="none" w:pos="130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Units and any Securities which are components of the Units shall have been duly executed, countersigned, authenticated, issued, registered and delivered (in each case, as and when applicable), in accordance with the provisions of (A) the applicable Unit Document relating to the Units, (B) the applicable Warrant Document relating to any Warrants which are components of the Units, (C) the applicable Debt Document relating to any Debt Securities which are components of the Units, (D) the Memorandum and Articles and (E) the applicable definitive purchase, underwriting or similar agreement approved by the Board, and upon payment of the consideration therefor provided therein (being, in respect of the Equity Securities which are components of the Units, not less than the par value of such Equity Securities),</w:t>
      </w:r>
    </w:p>
    <w:p>
      <w:pPr>
        <w:spacing w:after="0" w:line="18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the Units will be duly authorised and validly issued and will constitute legal, valid and binding obligations of the Company.</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British Virgin Islands taxation</w:t>
      </w:r>
    </w:p>
    <w:p>
      <w:pPr>
        <w:spacing w:after="0" w:line="229" w:lineRule="exact"/>
        <w:rPr>
          <w:sz w:val="20"/>
          <w:szCs w:val="20"/>
          <w:color w:val="auto"/>
        </w:rPr>
      </w:pPr>
    </w:p>
    <w:p>
      <w:pPr>
        <w:jc w:val="both"/>
        <w:ind w:left="644" w:hanging="644"/>
        <w:spacing w:after="0" w:line="266" w:lineRule="auto"/>
        <w:tabs>
          <w:tab w:leader="none" w:pos="6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of the British Virgin Islands does not, under existing legislation, impose any income, corporate or capital gains tax, estate duty, inheritance tax, gift tax or withholding tax upon the Company or its securityholders who are not tax resident in the British Virgin Islands.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all distributions, interest and other amounts paid by the Company to persons who are not tax resident in the British Virgin Islands will not be subject to any income, withholding or capital gains taxes in the British Virgin Islands, with respect to the shares in the Company owned by them and dividends received on such shares, nor will they be subject to any estate or inheritance taxes in the British Virgin Islands.</w:t>
      </w: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5" w:name="page106"/>
    <w:bookmarkEnd w:id="105"/>
    <w:p>
      <w:pPr>
        <w:jc w:val="both"/>
        <w:ind w:left="1300" w:hanging="644"/>
        <w:spacing w:after="0" w:line="256"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estate, inheritance, succession or gift tax, rate, duty, levy or other charge is payable by persons who are not tax resident in the British Virgin Islands with respect to any shares, debt obligations or other securities of the Company. Except to the extent that the Company has any interest in real property in the British Virgin Islands, all instruments relating to transactions in respect of the shares, debt obligations or other securities of the Company and all instruments relating to other transactions relating to the business of the Company are exempt from the payment of stamp duty in the British Virgin Islands. There are currently no withholding taxes or exchange control regulations in the British Virgin Islands applicable to the Company or its securityholders.</w:t>
      </w:r>
    </w:p>
    <w:p>
      <w:pPr>
        <w:spacing w:after="0" w:line="183"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We offer no opinion:</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laws of any jurisdiction other than the laws of the British Virgin Islands, and we have not, for the purposes of this opinion, made any investigation into such laws of any other jurisdiction and we express no opinion as to the meaning, validity, or effect of references in the Documents to statutes, rules, regulations, codes or judicial authority of any jurisdiction other than the British Virgin Islands;</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representation or warranty made or given by the Company in the Documents or, save as expressly set out herein, as to whether the Company will be able to perform its obligations under the Documents;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commercial terms of the Documents (or as to how the commercial terms of the Documents reflect the intentions of the parties) or, except to the extent that this opinion expressly provides otherwise, the validity, enforceability or effect of the Documents, the accuracy of representations, the fulfilment of warranties or conditions, the occurrence of events of default or terminating events or the existence of any conflicts or inconsistencies among the Documents and any other agreements into which the Company may have entered or any other documents, unless this opinion expressly provides otherwise;</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whether the acceptance, execution or performance of the obligations of the Company under the Documents will result in the breach of or infringe any other agreement, deed or document (other than the Memorandum and Articles) entered into by or binding on the Company; 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rights, title or interest of the Company to or in, or the existence of, any property or assets that are the subject of the Documents.</w:t>
      </w:r>
    </w:p>
    <w:p>
      <w:pPr>
        <w:spacing w:after="0" w:line="221"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of this opinion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This opinion is:</w:t>
      </w:r>
    </w:p>
    <w:p>
      <w:pPr>
        <w:spacing w:after="0" w:line="225"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governed by, and shall be construed in accordance with, the laws of the British Virgin Islands;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to the matters expressly stated in it;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confined to, and given on the basis of, the laws and practice in the British Virgin Islands at the date of this opinion.</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Unless otherwise indicated, a reference to any specific British Virgin Islands legislation is a reference to that legislation as amended to, and as in force at, the date of this opinion.</w:t>
      </w:r>
    </w:p>
    <w:p>
      <w:pPr>
        <w:spacing w:after="0" w:line="158"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Consent</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our firm under the heading “Legal Matters” of the Registration Statement.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may be used only in connection with the offer and sale of the Securities while the Registration Statement is effective. In giving our consent, we do not thereby admit that we are in the category of persons whose consent is required under Section 7 of the Act or the Rules and Regulations of the Commission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Ogier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Assumptions</w:t>
      </w:r>
    </w:p>
    <w:p>
      <w:pPr>
        <w:spacing w:after="0" w:line="225"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original documents examined by us are authentic and complete.</w:t>
      </w:r>
    </w:p>
    <w:p>
      <w:pPr>
        <w:spacing w:after="0" w:line="225" w:lineRule="exact"/>
        <w:rPr>
          <w:sz w:val="20"/>
          <w:szCs w:val="20"/>
          <w:color w:val="auto"/>
        </w:rPr>
      </w:pPr>
    </w:p>
    <w:p>
      <w:pPr>
        <w:ind w:left="660" w:right="20" w:hanging="652"/>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copy documents examined by us (whether in facsimile, electronic or other form) conform to the originals and those originals are authentic and complete.</w:t>
      </w:r>
    </w:p>
    <w:p>
      <w:pPr>
        <w:spacing w:after="0" w:line="162"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seals, dates, stamps and markings (whether on original or copy documents) are genuine.</w:t>
      </w:r>
    </w:p>
    <w:p>
      <w:pPr>
        <w:spacing w:after="0" w:line="225"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Good Standing Certificate, the Certificate of Incumbency and the Register is accurate and complete as at the date of this opinion.</w:t>
      </w:r>
    </w:p>
    <w:p>
      <w:pPr>
        <w:spacing w:after="0" w:line="225" w:lineRule="exact"/>
        <w:rPr>
          <w:sz w:val="20"/>
          <w:szCs w:val="20"/>
          <w:color w:val="auto"/>
        </w:rPr>
      </w:pPr>
    </w:p>
    <w:p>
      <w:pPr>
        <w:jc w:val="both"/>
        <w:ind w:left="660" w:hanging="652"/>
        <w:spacing w:after="0" w:line="261"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Governing Documents other than the Company is duly incorporated, formed or organised (as applicable), validly existing and in good standing under all relevant laws. Any individuals who are parties to the Governing Documents, or who sign or have signed documents or give information on which we rely, have the legal capacity under all relevant laws (including the laws of the British Virgin Islands) to enter into and perform their obligations under such Governing Document, sign such documents and give such information.</w:t>
      </w:r>
    </w:p>
    <w:p>
      <w:pPr>
        <w:spacing w:after="0" w:line="180" w:lineRule="exact"/>
        <w:rPr>
          <w:sz w:val="20"/>
          <w:szCs w:val="20"/>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Governing Document and the Non-Equity Securities have been, or will be, duly authorised, executed and unconditionally delivered by or on behalf of all relevant parties in accordance with all relevant laws and, in respect of the Company, in the manner authorised by the Board.</w:t>
      </w:r>
    </w:p>
    <w:p>
      <w:pPr>
        <w:spacing w:after="0" w:line="162" w:lineRule="exact"/>
        <w:rPr>
          <w:sz w:val="20"/>
          <w:szCs w:val="20"/>
          <w:color w:val="auto"/>
        </w:rPr>
      </w:pPr>
    </w:p>
    <w:p>
      <w:pPr>
        <w:jc w:val="both"/>
        <w:ind w:left="660" w:hanging="652"/>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authorising the execution and delivery of the Documents and the Governing Documents by the Company, the exercise of its rights and performance of its obligations under such documents, each of the directors of the Company has acted in good faith with a view to the best interests of the Company and has exercised the standard of care, diligence and skill that is required of him or her.</w:t>
      </w:r>
    </w:p>
    <w:p>
      <w:pPr>
        <w:spacing w:after="0" w:line="176" w:lineRule="exact"/>
        <w:rPr>
          <w:sz w:val="20"/>
          <w:szCs w:val="20"/>
          <w:color w:val="auto"/>
        </w:rPr>
      </w:pPr>
    </w:p>
    <w:p>
      <w:pPr>
        <w:jc w:val="both"/>
        <w:ind w:left="660" w:hanging="652"/>
        <w:spacing w:after="0" w:line="261"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Governing Documents will be governed by and construed in accordance with the laws of New York and will be legal, valid, binding and enforceable against all relevant parties in accordance with its terms under the laws of New York and all other relevant laws. If an obligation is to be performed in a jurisdiction outside the British Virgin Islands, its performance will not be contrary to an official directive, impossible or illegal under the laws of that jurisdiction.</w:t>
      </w:r>
    </w:p>
    <w:p>
      <w:pPr>
        <w:spacing w:after="0" w:line="180" w:lineRule="exact"/>
        <w:rPr>
          <w:sz w:val="20"/>
          <w:szCs w:val="20"/>
          <w:color w:val="auto"/>
        </w:rPr>
      </w:pPr>
    </w:p>
    <w:p>
      <w:pPr>
        <w:jc w:val="both"/>
        <w:ind w:left="660" w:hanging="652"/>
        <w:spacing w:after="0" w:line="261"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the laws of the State of New York as the governing law of the Governing Documents has, or will have, been made in good faith and would be regarded as a valid and binding selection which will be upheld by the courts of the State of New York and any other relevant jurisdiction (other than the British Virgin Islands) as a matter of the laws of the State of New York and all other relevant laws (other than the laws of the British Virgin Islands).</w:t>
      </w:r>
    </w:p>
    <w:p>
      <w:pPr>
        <w:spacing w:after="0" w:line="180" w:lineRule="exact"/>
        <w:rPr>
          <w:sz w:val="20"/>
          <w:szCs w:val="20"/>
          <w:color w:val="auto"/>
        </w:rPr>
      </w:pPr>
    </w:p>
    <w:p>
      <w:pPr>
        <w:jc w:val="both"/>
        <w:ind w:left="660" w:hanging="652"/>
        <w:spacing w:after="0" w:line="261"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Non-Equity Securities will respectively be issued and authenticated as required in accordance with the provisions of a duly authorised, executed and delivered applicable Governing Document and the Non-Equity Securities will be legal, valid, binding and enforceable against all relevant parties in accordance with their terms under the laws of the State of New York and all other relevant laws (other than, with respect to the Company, the laws of the British Virgin Islands).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jc w:val="both"/>
        <w:ind w:left="660" w:hanging="652"/>
        <w:spacing w:after="0" w:line="261"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and terms of any and all Securities, the issuance and sale thereof by the Company, and the Company’s incurrence and performance of its obligations thereunder or in respect thereof (including, without limitation, its obligations under any related agreement, indenture or supplement thereto) in accordance with the terms thereof will not violate the memorandum and articles of association of the Company then in effect nor any applicable law, regulation, order or decree in the British Virgin Islands.</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opinions expressed herein will be adversely affected by the laws or public policies of any jurisdiction other than the British Virgin Islands. In particular, but without limitation to the previous sentence: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or public policies of any jurisdiction other than the British Virgin Islands will not adversely affect the capacity or authority of the Company;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or delivery of the Governing Documents nor the exercise by any party to the Governing Documents of its rights or the performance of its obligations under them contravene those laws or public policies.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agreements, documents or arrangements (other than the documents expressly referred to in this opinion as having been examined by us) that materially affect or modify the Governing Documents or the transactions contemplated by Governing Documents or restrict the powers and authority of the Company in any way from entering into and performing its obligations under a duly authorised, executed and delivered Governing Documents.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obtained, or will obtain prior to execution, all consents, licences, approvals and authorisations of any governmental or regulatory authority or agency or of any other person that it is required to obtain pursuant to the laws of all relevant jurisdictions (other than those of the British Virgin Islands) to ensure the legality, validity, enforceability, proper performance and admissibility in evidence of the Governing Documents. Any conditions to which such consents, licences, approvals and authorisations are subject have been, and will continue to be, satisfied or waived by the parties entitled to the benefit of them.</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necessary corporate action will be taken to authorise and approve any issuance of Securities and the terms of the offering of such Securities thereof and other related matters and that the applicable definitive purchase, underwriting or similar agreement will be duly approved, executed and delivered by or on behalf of the Company and all other parties thereto.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Qualifications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 standing</w:t>
      </w:r>
    </w:p>
    <w:p>
      <w:pPr>
        <w:spacing w:after="0" w:line="229" w:lineRule="exact"/>
        <w:rPr>
          <w:sz w:val="20"/>
          <w:szCs w:val="20"/>
          <w:color w:val="auto"/>
        </w:rPr>
      </w:pPr>
    </w:p>
    <w:p>
      <w:pPr>
        <w:jc w:val="both"/>
        <w:ind w:left="660" w:hanging="652"/>
        <w:spacing w:after="0" w:line="261"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BCA an annual fee must be paid in respect of the Company to the Registry of Corporate Affairs. Failure to pay the annual fees by the relevant due date will render the Company liable to a penalty fee in addition to the amount of the outstanding fees. If the license fee and/or any penalty fee remains unpaid from the due date, the Company will be liable to be struck off and dissolved from the Register of Companies in the British Virgin Islands.</w:t>
      </w:r>
    </w:p>
    <w:p>
      <w:pPr>
        <w:spacing w:after="0" w:line="180" w:lineRule="exact"/>
        <w:rPr>
          <w:sz w:val="20"/>
          <w:szCs w:val="20"/>
          <w:color w:val="auto"/>
        </w:rPr>
      </w:pPr>
    </w:p>
    <w:p>
      <w:pPr>
        <w:jc w:val="both"/>
        <w:ind w:left="660" w:hanging="652"/>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BCA, a copy of the Company’s register of directors which is complete must be filed by the Company at the Registry of Corporate Affairs. Failure to make this filing will render the Company liable to a penalty fee and if the filing is not made within the requisite time period or any penalty fee remains unpaid from the due date, the Company will be liable to be struck off and dissolved from the Register of Companies.</w:t>
      </w:r>
    </w:p>
    <w:p>
      <w:pPr>
        <w:spacing w:after="0" w:line="176" w:lineRule="exact"/>
        <w:rPr>
          <w:sz w:val="20"/>
          <w:szCs w:val="20"/>
          <w:color w:val="auto"/>
        </w:rPr>
      </w:pPr>
    </w:p>
    <w:p>
      <w:pPr>
        <w:jc w:val="both"/>
        <w:ind w:left="660" w:hanging="652"/>
        <w:spacing w:after="0" w:line="261"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BCA, an annual financial return, in the prescribed form, must be filed by the Company with its registered agent in respect of each year for which one is due within the timeframe prescribed by the BCA for that year (unless the Company is within one of the statutory exceptions to the obligation to file). Failure to make this filing when due will render the Company liable to a penalty fee and where the Company is liable to the maximum penalty and has not filed its annual return, the Company will be liable to be struck off and dissolved from the Register of Companies.</w:t>
      </w:r>
    </w:p>
    <w:p>
      <w:pPr>
        <w:spacing w:after="0" w:line="180" w:lineRule="exact"/>
        <w:rPr>
          <w:sz w:val="20"/>
          <w:szCs w:val="20"/>
          <w:color w:val="auto"/>
        </w:rPr>
      </w:pPr>
    </w:p>
    <w:p>
      <w:pPr>
        <w:jc w:val="both"/>
        <w:ind w:left="660" w:hanging="652"/>
        <w:spacing w:after="0" w:line="258"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BCA, unless the Company is within one of the statutory exceptions to the obligation to file and is compliant with any conditions for the relevant exception(s) to apply, a copy of the Company’s register of members which is complete and certain prescribed beneficial ownership information for the Company must be filed by the Company at the Registry of Corporate Affairs. Failure to make these filings will render the Company liable to penalty fees and if the filings are not made within the requisite time period or any penalty fee remains unpaid from the due date, the Company will be liable to be struck off and dissolved from the Register of Companies.</w:t>
      </w:r>
    </w:p>
    <w:p>
      <w:pPr>
        <w:spacing w:after="0" w:line="183" w:lineRule="exact"/>
        <w:rPr>
          <w:sz w:val="20"/>
          <w:szCs w:val="20"/>
          <w:color w:val="auto"/>
        </w:rPr>
      </w:pPr>
    </w:p>
    <w:p>
      <w:pPr>
        <w:jc w:val="both"/>
        <w:ind w:left="660" w:hanging="652"/>
        <w:spacing w:after="0" w:line="253"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opinion “in good standing” means only that the Registrar of Corporate Affairs is satisfied that the Company is deemed to be in good standing under Section 235 of the BCA on the date of issue of the Good Standing Certificate. Notwithstanding any expiry date referred to in the certificate, the Company shall cease to be in good standing under Section 235 of the BCA if the Registrar of Corporate Affairs is not, or ceases to be, satisfied that the Company: (i) is on the Register of Companies; (ii) has paid all fees, annual fees and penalties due and payable; (iii) has filed with the Registrar of Corporate Affairs when due a copy of its registers of directors in accordance with and to the extent required by the BCA; and (iv) has filed with the Registrar of Corporate Affairs when due a copy of its registers of members in accordance with and to the extent required by the BCA; and (v) has filed with the Registrar of Corporate Affairs when due beneficial ownership information in accordance with the BCA; and/or where the Registrar of Corporate Affairs has received any notification that the Company has failed to file its annual return in accordance with and to the extent required by the BCA. We have made no enquiries into the Company’s good standing with respect to any other filings or payment of fees, or both, that it may be required to make under the laws of the British Virgin Islands other than the BCA. We have made no enquiries into whether the copy of the register of directors, the copy of the register of members or the Company’s beneficial ownership information filed at the Registry of Corporate Affairs matches the details set out on the Certificate of Incumbency or whether the annual return filed by the Company with its registered agent is in the prescribed form as required pursuant to the BCA.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Public Records</w:t>
      </w:r>
    </w:p>
    <w:p>
      <w:pPr>
        <w:spacing w:after="0" w:line="229"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Records and our searches thereof may not reveal the following:</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Registry Records, details of matters which have not been lodged for registration or have been lodged for registration but not actually registered at the time of our search or notifications made to the Registrar of Corporate Affairs by the registered agent of any failure by any Company to file its register of directors, register of members, beneficial ownership information and/or annual return as required and within the time frame prescribed by the BCA;</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Court Records, details of proceedings which have been filed but not actually entered in the High Court Database at the time of our search;</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 application for the appointment of a liquidator or a receiver has been presented to the High Court of the British Virgin Islands or whether a liquidator or a receiver has been appointed out of court, or whether any out of court dissolution, reconstruction or reorganisation of the Company has been commenced;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originating process (including an application to appoint a liquidator) in respect of the Company in circumstances where the High Court of the British Virgin Islands has prior to the issuance of such process ordered that such process upon issuance be anonymised (whether on a temporary basis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the following points should also be noted:</w:t>
      </w:r>
    </w:p>
    <w:p>
      <w:pPr>
        <w:spacing w:after="0" w:line="225" w:lineRule="exact"/>
        <w:rPr>
          <w:sz w:val="20"/>
          <w:szCs w:val="20"/>
          <w:color w:val="auto"/>
        </w:rPr>
      </w:pPr>
    </w:p>
    <w:p>
      <w:pPr>
        <w:jc w:val="both"/>
        <w:ind w:left="1300" w:hanging="644"/>
        <w:spacing w:after="0" w:line="256"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Court Records reflect the information accessible remotely on the High Court Database, we have not conducted a separate search of the underlying Civil Cause Book (the </w:t>
      </w:r>
      <w:r>
        <w:rPr>
          <w:rFonts w:ascii="Times New Roman" w:cs="Times New Roman" w:eastAsia="Times New Roman" w:hAnsi="Times New Roman"/>
          <w:sz w:val="18"/>
          <w:szCs w:val="18"/>
          <w:b w:val="1"/>
          <w:bCs w:val="1"/>
          <w:color w:val="auto"/>
        </w:rPr>
        <w:t>Civil Cause Book</w:t>
      </w:r>
      <w:r>
        <w:rPr>
          <w:rFonts w:ascii="Times New Roman" w:cs="Times New Roman" w:eastAsia="Times New Roman" w:hAnsi="Times New Roman"/>
          <w:sz w:val="18"/>
          <w:szCs w:val="18"/>
          <w:color w:val="auto"/>
        </w:rPr>
        <w:t xml:space="preserve">) or the Commercial Cause Book (the </w:t>
      </w:r>
      <w:r>
        <w:rPr>
          <w:rFonts w:ascii="Times New Roman" w:cs="Times New Roman" w:eastAsia="Times New Roman" w:hAnsi="Times New Roman"/>
          <w:sz w:val="18"/>
          <w:szCs w:val="18"/>
          <w:b w:val="1"/>
          <w:bCs w:val="1"/>
          <w:color w:val="auto"/>
        </w:rPr>
        <w:t>Commercial Cause Book</w:t>
      </w:r>
      <w:r>
        <w:rPr>
          <w:rFonts w:ascii="Times New Roman" w:cs="Times New Roman" w:eastAsia="Times New Roman" w:hAnsi="Times New Roman"/>
          <w:sz w:val="18"/>
          <w:szCs w:val="18"/>
          <w:color w:val="auto"/>
        </w:rPr>
        <w:t>) at the Registry of the High Court of the British Virgin Islands. Although the High Court Database should reflect the content of the Civil Cause Book and the Commercial Cause Book, neither the High Court Database nor the Civil Cause Book or Commercial Cause Book is updated every day, and for that reason neither facility can be relied upon to reveal whether or not a particular entity is a party to litigation in the British Virgin Islands;</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Court Database is not updated if third parties or noticed parties are added to or removed from the proceedings after their commencement;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it is a requirement under Section 118 of the Insolvency Act that notice of the appointment of a receiver be registered with the Registry of Corporate Affairs, however, it should be noted that failure to file a notice of appointment of a receiver does not invalidate the receivership but gives rise to penalties on the part of the receiver and the absence of a registered notice of appointment of a receiver is not conclusive as to there being no existing appointment of a receiver in respect of the Company or its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Non-assessable</w:t>
      </w:r>
    </w:p>
    <w:p>
      <w:pPr>
        <w:spacing w:after="0" w:line="229" w:lineRule="exact"/>
        <w:rPr>
          <w:sz w:val="20"/>
          <w:szCs w:val="20"/>
          <w:color w:val="auto"/>
        </w:rPr>
      </w:pPr>
    </w:p>
    <w:p>
      <w:pPr>
        <w:jc w:val="both"/>
        <w:ind w:left="660" w:hanging="652"/>
        <w:spacing w:after="0" w:line="261"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opinion, the phrase “non-assessable” means, with respect to the Equity Securities, that a shareholder shall not, solely by virtue of its status as a shareholder, be liable for additional assessments or calls on such Equity Securities by the Company or its creditors (except in exceptional circumstances, such as involving fraud, the establishment of an agency relationship or an illegal or improper purpose or other circumstance in which a court may be prepared to pierce or lift the corporate veil).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7" w:lineRule="exact"/>
        <w:rPr>
          <w:sz w:val="20"/>
          <w:szCs w:val="20"/>
          <w:color w:val="auto"/>
        </w:rPr>
      </w:pPr>
    </w:p>
    <w:p>
      <w:pPr>
        <w:ind w:left="660" w:hanging="652"/>
        <w:spacing w:after="0" w:line="284"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the BCA, the entry of the name of a person in the register of members as a holder of a share in a company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that legal title in the share vests in that person.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0" w:name="page111"/>
    <w:bookmarkEnd w:id="110"/>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ectPr>
          <w:pgSz w:w="11900" w:h="16838" w:orient="portrait"/>
          <w:cols w:equalWidth="0" w:num="1">
            <w:col w:w="11240"/>
          </w:cols>
          <w:pgMar w:left="320" w:top="117" w:right="339" w:bottom="1440" w:gutter="0" w:footer="0" w:header="0"/>
        </w:sectPr>
      </w:pPr>
    </w:p>
    <w:p>
      <w:pPr>
        <w:spacing w:after="0" w:line="23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J&amp;S ASSOCIATE PLT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942975" cy="6000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942975" cy="600075"/>
                    </a:xfrm>
                    <a:prstGeom prst="rect">
                      <a:avLst/>
                    </a:prstGeom>
                    <a:noFill/>
                  </pic:spPr>
                </pic:pic>
              </a:graphicData>
            </a:graphic>
          </wp:anchor>
        </w:drawing>
      </w:r>
    </w:p>
    <w:p>
      <w:pPr>
        <w:spacing w:after="0" w:line="1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202206000037 (LLP0033395-LCA) &amp; AF002380</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(Registered with PCAOB and MIA)</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C-13-11, Megan Avenue II</w:t>
      </w:r>
    </w:p>
    <w:p>
      <w:pPr>
        <w:spacing w:after="0" w:line="2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12, Jalan Yap Kwan Seng, 50450, Kuala Lumpur, Malaysia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+603-4813 9469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 info@jns-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Website : jns-associate.com</w:t>
      </w:r>
    </w:p>
    <w:p>
      <w:pPr>
        <w:spacing w:after="0" w:line="200" w:lineRule="exact"/>
        <w:rPr>
          <w:sz w:val="20"/>
          <w:szCs w:val="20"/>
          <w:color w:val="auto"/>
        </w:rPr>
      </w:pPr>
    </w:p>
    <w:p>
      <w:pPr>
        <w:sectPr>
          <w:pgSz w:w="11900" w:h="16838" w:orient="portrait"/>
          <w:cols w:equalWidth="0" w:num="2">
            <w:col w:w="8280" w:space="720"/>
            <w:col w:w="2240"/>
          </w:cols>
          <w:pgMar w:left="320" w:top="117" w:right="339" w:bottom="1440" w:gutter="0" w:footer="0" w:header="0"/>
          <w:type w:val="continuous"/>
        </w:sect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hereby consent to the inclusion in this Registration Statement on the Form F-3 of NewGenIvf Group Limited (the “Company”) of our report dated March 31, 2026 with respect to our audits of the consolidated financial statements of the Company as of December 31, 2025 and December 31, 2024 respectively, and for the three years in the period ended December 31, 2025, except for the number of shares in the balance sheets, statements of changes in shareholders’ equity and in Notes 1, 2, 12, 14, 20 and 23, as well as the earnings per share and weighted average shares outstanding in the statements of operations and comprehensive income (loss) of the consolidated financial statements of the said periods, which have been retrospectively adjusted for the reverse share splits effected on July 6, 2026 and September 1, 2026, as to which our report date is September 1, 2026, and included in the Registration Statement on Amendment No.1 to the Form F-1 filed on September 1, 2026. The consolidated financial statements of the Company for the mentioned periods remain unadjusted for the Reverse Stock Split subsequent to September 1,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caption “Experts” appearing in this Registration Statement.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J&amp;S Associate PLT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Number: 6743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Kuala Lumpur, Malaysia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2026</w:t>
      </w:r>
    </w:p>
    <w:p>
      <w:pPr>
        <w:sectPr>
          <w:pgSz w:w="11900" w:h="16838" w:orient="portrait"/>
          <w:cols w:equalWidth="0" w:num="1">
            <w:col w:w="11240"/>
          </w:cols>
          <w:pgMar w:left="320" w:top="117" w:right="339" w:bottom="1440" w:gutter="0" w:footer="0" w:header="0"/>
          <w:type w:val="continuous"/>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F-3</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NEWGENIVF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00" w:type="dxa"/>
            <w:vAlign w:val="bottom"/>
          </w:tcPr>
          <w:p>
            <w:pPr>
              <w:spacing w:after="0"/>
              <w:rPr>
                <w:sz w:val="12"/>
                <w:szCs w:val="12"/>
                <w:color w:val="auto"/>
              </w:rPr>
            </w:pPr>
          </w:p>
        </w:tc>
        <w:tc>
          <w:tcPr>
            <w:tcW w:w="14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 w:type="dxa"/>
            <w:vAlign w:val="bottom"/>
            <w:vMerge w:val="restart"/>
          </w:tcPr>
          <w:p>
            <w:pPr>
              <w:spacing w:after="0"/>
              <w:rPr>
                <w:sz w:val="12"/>
                <w:szCs w:val="12"/>
                <w:color w:val="auto"/>
              </w:rPr>
            </w:pP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40" w:type="dxa"/>
            <w:vAlign w:val="bottom"/>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920" w:type="dxa"/>
            <w:vAlign w:val="bottom"/>
            <w:gridSpan w:val="7"/>
          </w:tcPr>
          <w:p>
            <w:pPr>
              <w:ind w:left="8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483"/>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0.0000870</w:t>
            </w:r>
          </w:p>
        </w:tc>
        <w:tc>
          <w:tcPr>
            <w:tcW w:w="1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Shares, no par value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no</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0.0000870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par value per share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Debt</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0.0000870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0.0000870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Rights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0.0000870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Units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Unallocated</w:t>
            </w:r>
          </w:p>
        </w:tc>
        <w:tc>
          <w:tcPr>
            <w:tcW w:w="7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483"/>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100,000,000.00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0.0000870</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8,700.00</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(Universal) Shelf</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940" w:type="dxa"/>
            <w:vAlign w:val="bottom"/>
            <w:gridSpan w:val="6"/>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Offering Amounts:</w:t>
            </w:r>
          </w:p>
        </w:tc>
        <w:tc>
          <w:tcPr>
            <w:tcW w:w="1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40" w:type="dxa"/>
            <w:vAlign w:val="bottom"/>
            <w:gridSpan w:val="6"/>
            <w:vMerge w:val="continue"/>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100,000,000.00</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8,700.00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8,700.00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53" w:lineRule="auto"/>
        <w:tabs>
          <w:tab w:leader="none" w:pos="3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registering an indeterminate number of securities for offer and sale from time to time at indeterminate prices, which shall have an aggregate offering price not to exceed $100,000,000.00. In addition, pursuant to Rule 416(a) under the Securities Act of 1933, as amended (the "Securities Act"),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 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F-3 under the Securities Act. Estimated solely for the purpose of computing the amount of the registration fee pursuant to Rule 457(o) under the Securities Act.</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0">
    <w:nsid w:val="39386575"/>
    <w:multiLevelType w:val="hybridMultilevel"/>
    <w:lvl w:ilvl="0">
      <w:lvlJc w:val="left"/>
      <w:lvlText w:val="(%1)"/>
      <w:numFmt w:val="decimal"/>
      <w:start w:val="2"/>
    </w:lvl>
  </w:abstractNum>
  <w:abstractNum w:abstractNumId="31">
    <w:nsid w:val="1CF10FD8"/>
    <w:multiLevelType w:val="hybridMultilevel"/>
    <w:lvl w:ilvl="0">
      <w:lvlJc w:val="left"/>
      <w:lvlText w:val="(%1)"/>
      <w:numFmt w:val="decimal"/>
      <w:start w:val="4"/>
    </w:lvl>
    <w:lvl w:ilvl="1">
      <w:lvlJc w:val="left"/>
      <w:lvlText w:val="(%2)"/>
      <w:numFmt w:val="lowerRoman"/>
      <w:start w:val="1"/>
    </w:lvl>
  </w:abstractNum>
  <w:abstractNum w:abstractNumId="32">
    <w:nsid w:val="180115BE"/>
    <w:multiLevelType w:val="hybridMultilevel"/>
    <w:lvl w:ilvl="0">
      <w:lvlJc w:val="left"/>
      <w:lvlText w:val="%1"/>
      <w:numFmt w:val="lowerLetter"/>
      <w:start w:val="1"/>
    </w:lvl>
    <w:lvl w:ilvl="1">
      <w:lvlJc w:val="left"/>
      <w:lvlText w:val="(%2)"/>
      <w:numFmt w:val="lowerRoman"/>
      <w:start w:val="1"/>
    </w:lvl>
  </w:abstractNum>
  <w:abstractNum w:abstractNumId="33">
    <w:nsid w:val="235BA861"/>
    <w:multiLevelType w:val="hybridMultilevel"/>
    <w:lvl w:ilvl="0">
      <w:lvlJc w:val="left"/>
      <w:lvlText w:val="(%1)"/>
      <w:numFmt w:val="lowerLetter"/>
      <w:start w:val="2"/>
    </w:lvl>
    <w:lvl w:ilvl="1">
      <w:lvlJc w:val="left"/>
      <w:lvlText w:val="%2"/>
      <w:numFmt w:val="lowerRoman"/>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1)"/>
      <w:numFmt w:val="lowerLetter"/>
      <w:start w:val="1"/>
    </w:lvl>
  </w:abstractNum>
  <w:abstractNum w:abstractNumId="38">
    <w:nsid w:val="D34B6A8"/>
    <w:multiLevelType w:val="hybridMultilevel"/>
    <w:lvl w:ilvl="0">
      <w:lvlJc w:val="left"/>
      <w:lvlText w:val="(%1)"/>
      <w:numFmt w:val="lowerLetter"/>
      <w:start w:val="3"/>
    </w:lvl>
  </w:abstractNum>
  <w:abstractNum w:abstractNumId="39">
    <w:nsid w:val="10233C99"/>
    <w:multiLevelType w:val="hybridMultilevel"/>
    <w:lvl w:ilvl="0">
      <w:lvlJc w:val="left"/>
      <w:lvlText w:val="(%1)"/>
      <w:numFmt w:val="lowerLetter"/>
      <w:start w:val="1"/>
    </w:lvl>
  </w:abstractNum>
  <w:abstractNum w:abstractNumId="40">
    <w:nsid w:val="3F6AB60F"/>
    <w:multiLevelType w:val="hybridMultilevel"/>
    <w:lvl w:ilvl="0">
      <w:lvlJc w:val="left"/>
      <w:lvlText w:val="(%1)"/>
      <w:numFmt w:val="lowerLetter"/>
      <w:start w:val="1"/>
    </w:lvl>
  </w:abstractNum>
  <w:abstractNum w:abstractNumId="41">
    <w:nsid w:val="61574095"/>
    <w:multiLevelType w:val="hybridMultilevel"/>
    <w:lvl w:ilvl="0">
      <w:lvlJc w:val="left"/>
      <w:lvlText w:val="(%1)"/>
      <w:numFmt w:val="lowerLetter"/>
      <w:start w:val="5"/>
    </w:lvl>
  </w:abstractNum>
  <w:abstractNum w:abstractNumId="42">
    <w:nsid w:val="7E0C57B1"/>
    <w:multiLevelType w:val="hybridMultilevel"/>
    <w:lvl w:ilvl="0">
      <w:lvlJc w:val="left"/>
      <w:lvlText w:val="1"/>
      <w:numFmt w:val="bullet"/>
      <w:start w:val="1"/>
    </w:lvl>
    <w:lvl w:ilvl="1">
      <w:lvlJc w:val="left"/>
      <w:lvlText w:val="(%2)"/>
      <w:numFmt w:val="lowerLetter"/>
      <w:start w:val="1"/>
    </w:lvl>
  </w:abstractNum>
  <w:abstractNum w:abstractNumId="43">
    <w:nsid w:val="77AE35EB"/>
    <w:multiLevelType w:val="hybridMultilevel"/>
    <w:lvl w:ilvl="0">
      <w:lvlJc w:val="left"/>
      <w:lvlText w:val="(%1)"/>
      <w:numFmt w:val="lowerLetter"/>
      <w:start w:val="5"/>
    </w:lvl>
  </w:abstractNum>
  <w:abstractNum w:abstractNumId="44">
    <w:nsid w:val="579BE4F1"/>
    <w:multiLevelType w:val="hybridMultilevel"/>
    <w:lvl w:ilvl="0">
      <w:lvlJc w:val="left"/>
      <w:lvlText w:val="2"/>
      <w:numFmt w:val="bullet"/>
      <w:start w:val="1"/>
    </w:lvl>
  </w:abstractNum>
  <w:abstractNum w:abstractNumId="45">
    <w:nsid w:val="310C50B3"/>
    <w:multiLevelType w:val="hybridMultilevel"/>
    <w:lvl w:ilvl="0">
      <w:lvlJc w:val="left"/>
      <w:lvlText w:val="3"/>
      <w:numFmt w:val="bullet"/>
      <w:start w:val="1"/>
    </w:lvl>
    <w:lvl w:ilvl="1">
      <w:lvlJc w:val="left"/>
      <w:lvlText w:val="(%2)"/>
      <w:numFmt w:val="lowerLetter"/>
      <w:start w:val="1"/>
    </w:lvl>
  </w:abstractNum>
  <w:abstractNum w:abstractNumId="46">
    <w:nsid w:val="5FF87E05"/>
    <w:multiLevelType w:val="hybridMultilevel"/>
    <w:lvl w:ilvl="0">
      <w:lvlJc w:val="left"/>
      <w:lvlText w:val="(%1)"/>
      <w:numFmt w:val="lowerLetter"/>
      <w:start w:val="2"/>
    </w:lvl>
    <w:lvl w:ilvl="1">
      <w:lvlJc w:val="left"/>
      <w:lvlText w:val="(%2)"/>
      <w:numFmt w:val="lowerRoman"/>
      <w:start w:val="1"/>
    </w:lvl>
  </w:abstractNum>
  <w:abstractNum w:abstractNumId="47">
    <w:nsid w:val="2F305DEF"/>
    <w:multiLevelType w:val="hybridMultilevel"/>
    <w:lvl w:ilvl="0">
      <w:lvlJc w:val="left"/>
      <w:lvlText w:val="(%1)"/>
      <w:numFmt w:val="lowerRoman"/>
      <w:start w:val="3"/>
    </w:lvl>
  </w:abstractNum>
  <w:abstractNum w:abstractNumId="48">
    <w:nsid w:val="25A70BF7"/>
    <w:multiLevelType w:val="hybridMultilevel"/>
    <w:lvl w:ilvl="0">
      <w:lvlJc w:val="left"/>
      <w:lvlText w:val="(%1)"/>
      <w:numFmt w:val="lowerLetter"/>
      <w:start w:val="3"/>
    </w:lvl>
    <w:lvl w:ilvl="1">
      <w:lvlJc w:val="left"/>
      <w:lvlText w:val="(%2)"/>
      <w:numFmt w:val="lowerRoman"/>
      <w:start w:val="1"/>
    </w:lvl>
  </w:abstractNum>
  <w:abstractNum w:abstractNumId="49">
    <w:nsid w:val="1DBABF00"/>
    <w:multiLevelType w:val="hybridMultilevel"/>
    <w:lvl w:ilvl="0">
      <w:lvlJc w:val="left"/>
      <w:lvlText w:val="(%1)"/>
      <w:numFmt w:val="lowerLetter"/>
      <w:start w:val="4"/>
    </w:lvl>
    <w:lvl w:ilvl="1">
      <w:lvlJc w:val="left"/>
      <w:lvlText w:val="(%2)"/>
      <w:numFmt w:val="lowerRoman"/>
      <w:start w:val="1"/>
    </w:lvl>
  </w:abstractNum>
  <w:abstractNum w:abstractNumId="50">
    <w:nsid w:val="4AD084E9"/>
    <w:multiLevelType w:val="hybridMultilevel"/>
    <w:lvl w:ilvl="0">
      <w:lvlJc w:val="left"/>
      <w:lvlText w:val="(%1)"/>
      <w:numFmt w:val="lowerLetter"/>
      <w:start w:val="5"/>
    </w:lvl>
    <w:lvl w:ilvl="1">
      <w:lvlJc w:val="left"/>
      <w:lvlText w:val="(%2)"/>
      <w:numFmt w:val="lowerRoman"/>
      <w:start w:val="1"/>
    </w:lvl>
  </w:abstractNum>
  <w:abstractNum w:abstractNumId="51">
    <w:nsid w:val="1F48EAA1"/>
    <w:multiLevelType w:val="hybridMultilevel"/>
    <w:lvl w:ilvl="0">
      <w:lvlJc w:val="left"/>
      <w:lvlText w:val="(%1)"/>
      <w:numFmt w:val="lowerLetter"/>
      <w:start w:val="6"/>
    </w:lvl>
    <w:lvl w:ilvl="1">
      <w:lvlJc w:val="left"/>
      <w:lvlText w:val="(%2)"/>
      <w:numFmt w:val="lowerRoman"/>
      <w:start w:val="1"/>
    </w:lvl>
  </w:abstractNum>
  <w:abstractNum w:abstractNumId="52">
    <w:nsid w:val="1381823A"/>
    <w:multiLevelType w:val="hybridMultilevel"/>
    <w:lvl w:ilvl="0">
      <w:lvlJc w:val="left"/>
      <w:lvlText w:val="(%1)"/>
      <w:numFmt w:val="lowerLetter"/>
      <w:start w:val="7"/>
    </w:lvl>
    <w:lvl w:ilvl="1">
      <w:lvlJc w:val="left"/>
      <w:lvlText w:val="(%2)"/>
      <w:numFmt w:val="lowerRoman"/>
      <w:start w:val="1"/>
    </w:lvl>
  </w:abstractNum>
  <w:abstractNum w:abstractNumId="53">
    <w:nsid w:val="5DB70AE5"/>
    <w:multiLevelType w:val="hybridMultilevel"/>
    <w:lvl w:ilvl="0">
      <w:lvlJc w:val="left"/>
      <w:lvlText w:val="(%1)"/>
      <w:numFmt w:val="lowerRoman"/>
      <w:start w:val="2"/>
    </w:lvl>
  </w:abstractNum>
  <w:abstractNum w:abstractNumId="54">
    <w:nsid w:val="100F8FCA"/>
    <w:multiLevelType w:val="hybridMultilevel"/>
    <w:lvl w:ilvl="0">
      <w:lvlJc w:val="left"/>
      <w:lvlText w:val="(%1)"/>
      <w:numFmt w:val="lowerLetter"/>
      <w:start w:val="8"/>
    </w:lvl>
  </w:abstractNum>
  <w:abstractNum w:abstractNumId="55">
    <w:nsid w:val="6590700B"/>
    <w:multiLevelType w:val="hybridMultilevel"/>
    <w:lvl w:ilvl="0">
      <w:lvlJc w:val="left"/>
      <w:lvlText w:val="(%1)"/>
      <w:numFmt w:val="lowerLetter"/>
      <w:start w:val="10"/>
    </w:lvl>
  </w:abstractNum>
  <w:abstractNum w:abstractNumId="56">
    <w:nsid w:val="15014ACB"/>
    <w:multiLevelType w:val="hybridMultilevel"/>
    <w:lvl w:ilvl="0">
      <w:lvlJc w:val="left"/>
      <w:lvlText w:val="4"/>
      <w:numFmt w:val="bullet"/>
      <w:start w:val="1"/>
    </w:lvl>
  </w:abstractNum>
  <w:abstractNum w:abstractNumId="57">
    <w:nsid w:val="5F5E7FD0"/>
    <w:multiLevelType w:val="hybridMultilevel"/>
    <w:lvl w:ilvl="0">
      <w:lvlJc w:val="left"/>
      <w:lvlText w:val="(%1)"/>
      <w:numFmt w:val="lowerLetter"/>
      <w:start w:val="1"/>
    </w:lvl>
  </w:abstractNum>
  <w:abstractNum w:abstractNumId="58">
    <w:nsid w:val="98A3148"/>
    <w:multiLevelType w:val="hybridMultilevel"/>
    <w:lvl w:ilvl="0">
      <w:lvlJc w:val="left"/>
      <w:lvlText w:val="5"/>
      <w:numFmt w:val="bullet"/>
      <w:start w:val="1"/>
    </w:lvl>
  </w:abstractNum>
  <w:abstractNum w:abstractNumId="59">
    <w:nsid w:val="799D0247"/>
    <w:multiLevelType w:val="hybridMultilevel"/>
    <w:lvl w:ilvl="0">
      <w:lvlJc w:val="left"/>
      <w:lvlText w:val="(%1)"/>
      <w:numFmt w:val="lowerLetter"/>
      <w:start w:val="1"/>
    </w:lvl>
  </w:abstractNum>
  <w:abstractNum w:abstractNumId="60">
    <w:nsid w:val="6B94764"/>
    <w:multiLevelType w:val="hybridMultilevel"/>
    <w:lvl w:ilvl="0">
      <w:lvlJc w:val="left"/>
      <w:lvlText w:val="6"/>
      <w:numFmt w:val="bullet"/>
      <w:start w:val="1"/>
    </w:lvl>
  </w:abstractNum>
  <w:abstractNum w:abstractNumId="61">
    <w:nsid w:val="42C296BD"/>
    <w:multiLevelType w:val="hybridMultilevel"/>
    <w:lvl w:ilvl="0">
      <w:lvlJc w:val="left"/>
      <w:lvlText w:val="1"/>
      <w:numFmt w:val="bullet"/>
      <w:start w:val="1"/>
    </w:lvl>
  </w:abstractNum>
  <w:abstractNum w:abstractNumId="62">
    <w:nsid w:val="168E121F"/>
    <w:multiLevelType w:val="hybridMultilevel"/>
    <w:lvl w:ilvl="0">
      <w:lvlJc w:val="left"/>
      <w:lvlText w:val="2"/>
      <w:numFmt w:val="bullet"/>
      <w:start w:val="1"/>
    </w:lvl>
  </w:abstractNum>
  <w:abstractNum w:abstractNumId="63">
    <w:nsid w:val="1EBA5D23"/>
    <w:multiLevelType w:val="hybridMultilevel"/>
    <w:lvl w:ilvl="0">
      <w:lvlJc w:val="left"/>
      <w:lvlText w:val="3"/>
      <w:numFmt w:val="bullet"/>
      <w:start w:val="1"/>
    </w:lvl>
  </w:abstractNum>
  <w:abstractNum w:abstractNumId="64">
    <w:nsid w:val="661E3F1E"/>
    <w:multiLevelType w:val="hybridMultilevel"/>
    <w:lvl w:ilvl="0">
      <w:lvlJc w:val="left"/>
      <w:lvlText w:val="4"/>
      <w:numFmt w:val="bullet"/>
      <w:start w:val="1"/>
    </w:lvl>
  </w:abstractNum>
  <w:abstractNum w:abstractNumId="65">
    <w:nsid w:val="5DC79EA8"/>
    <w:multiLevelType w:val="hybridMultilevel"/>
    <w:lvl w:ilvl="0">
      <w:lvlJc w:val="left"/>
      <w:lvlText w:val="5"/>
      <w:numFmt w:val="bullet"/>
      <w:start w:val="1"/>
    </w:lvl>
  </w:abstractNum>
  <w:abstractNum w:abstractNumId="66">
    <w:nsid w:val="540A471C"/>
    <w:multiLevelType w:val="hybridMultilevel"/>
    <w:lvl w:ilvl="0">
      <w:lvlJc w:val="left"/>
      <w:lvlText w:val="6"/>
      <w:numFmt w:val="bullet"/>
      <w:start w:val="1"/>
    </w:lvl>
  </w:abstractNum>
  <w:abstractNum w:abstractNumId="67">
    <w:nsid w:val="7BD3EE7B"/>
    <w:multiLevelType w:val="hybridMultilevel"/>
    <w:lvl w:ilvl="0">
      <w:lvlJc w:val="left"/>
      <w:lvlText w:val="7"/>
      <w:numFmt w:val="bullet"/>
      <w:start w:val="1"/>
    </w:lvl>
  </w:abstractNum>
  <w:abstractNum w:abstractNumId="68">
    <w:nsid w:val="51D9C564"/>
    <w:multiLevelType w:val="hybridMultilevel"/>
    <w:lvl w:ilvl="0">
      <w:lvlJc w:val="left"/>
      <w:lvlText w:val="8"/>
      <w:numFmt w:val="bullet"/>
      <w:start w:val="1"/>
    </w:lvl>
  </w:abstractNum>
  <w:abstractNum w:abstractNumId="69">
    <w:nsid w:val="613EFDC5"/>
    <w:multiLevelType w:val="hybridMultilevel"/>
    <w:lvl w:ilvl="0">
      <w:lvlJc w:val="left"/>
      <w:lvlText w:val="9"/>
      <w:numFmt w:val="bullet"/>
      <w:start w:val="1"/>
    </w:lvl>
  </w:abstractNum>
  <w:abstractNum w:abstractNumId="70">
    <w:nsid w:val="BF72B14"/>
    <w:multiLevelType w:val="hybridMultilevel"/>
    <w:lvl w:ilvl="0">
      <w:lvlJc w:val="left"/>
      <w:lvlText w:val="%1"/>
      <w:numFmt w:val="decimal"/>
      <w:start w:val="10"/>
    </w:lvl>
  </w:abstractNum>
  <w:abstractNum w:abstractNumId="71">
    <w:nsid w:val="11447B73"/>
    <w:multiLevelType w:val="hybridMultilevel"/>
    <w:lvl w:ilvl="0">
      <w:lvlJc w:val="left"/>
      <w:lvlText w:val="%1"/>
      <w:numFmt w:val="decimal"/>
      <w:start w:val="11"/>
    </w:lvl>
    <w:lvl w:ilvl="1">
      <w:lvlJc w:val="left"/>
      <w:lvlText w:val="(%2)"/>
      <w:numFmt w:val="lowerLetter"/>
      <w:start w:val="1"/>
    </w:lvl>
  </w:abstractNum>
  <w:abstractNum w:abstractNumId="72">
    <w:nsid w:val="42963E5A"/>
    <w:multiLevelType w:val="hybridMultilevel"/>
    <w:lvl w:ilvl="0">
      <w:lvlJc w:val="left"/>
      <w:lvlText w:val="1"/>
      <w:numFmt w:val="bullet"/>
      <w:start w:val="1"/>
    </w:lvl>
  </w:abstractNum>
  <w:abstractNum w:abstractNumId="73">
    <w:nsid w:val="A0382C5"/>
    <w:multiLevelType w:val="hybridMultilevel"/>
    <w:lvl w:ilvl="0">
      <w:lvlJc w:val="left"/>
      <w:lvlText w:val="2"/>
      <w:numFmt w:val="bullet"/>
      <w:start w:val="1"/>
    </w:lvl>
  </w:abstractNum>
  <w:abstractNum w:abstractNumId="74">
    <w:nsid w:val="8F2B15E"/>
    <w:multiLevelType w:val="hybridMultilevel"/>
    <w:lvl w:ilvl="0">
      <w:lvlJc w:val="left"/>
      <w:lvlText w:val="3"/>
      <w:numFmt w:val="bullet"/>
      <w:start w:val="1"/>
    </w:lvl>
  </w:abstractNum>
  <w:abstractNum w:abstractNumId="75">
    <w:nsid w:val="1A32234B"/>
    <w:multiLevelType w:val="hybridMultilevel"/>
    <w:lvl w:ilvl="0">
      <w:lvlJc w:val="left"/>
      <w:lvlText w:val="4"/>
      <w:numFmt w:val="bullet"/>
      <w:start w:val="1"/>
    </w:lvl>
  </w:abstractNum>
  <w:abstractNum w:abstractNumId="76">
    <w:nsid w:val="3B0FD379"/>
    <w:multiLevelType w:val="hybridMultilevel"/>
    <w:lvl w:ilvl="0">
      <w:lvlJc w:val="left"/>
      <w:lvlText w:val="5"/>
      <w:numFmt w:val="bullet"/>
      <w:start w:val="1"/>
    </w:lvl>
  </w:abstractNum>
  <w:abstractNum w:abstractNumId="77">
    <w:nsid w:val="68EB2F63"/>
    <w:multiLevelType w:val="hybridMultilevel"/>
    <w:lvl w:ilvl="0">
      <w:lvlJc w:val="left"/>
      <w:lvlText w:val="6"/>
      <w:numFmt w:val="bullet"/>
      <w:start w:val="1"/>
    </w:lvl>
    <w:lvl w:ilvl="1">
      <w:lvlJc w:val="left"/>
      <w:lvlText w:val="(%2)"/>
      <w:numFmt w:val="lowerLetter"/>
      <w:start w:val="1"/>
    </w:lvl>
  </w:abstractNum>
  <w:abstractNum w:abstractNumId="78">
    <w:nsid w:val="4962813B"/>
    <w:multiLevelType w:val="hybridMultilevel"/>
    <w:lvl w:ilvl="0">
      <w:lvlJc w:val="left"/>
      <w:lvlText w:val="(%1)"/>
      <w:numFmt w:val="lowerLetter"/>
      <w:start w:val="5"/>
    </w:lvl>
  </w:abstractNum>
  <w:abstractNum w:abstractNumId="79">
    <w:nsid w:val="60B6DF70"/>
    <w:multiLevelType w:val="hybridMultilevel"/>
    <w:lvl w:ilvl="0">
      <w:lvlJc w:val="left"/>
      <w:lvlText w:val="7"/>
      <w:numFmt w:val="bullet"/>
      <w:start w:val="1"/>
    </w:lvl>
  </w:abstractNum>
  <w:abstractNum w:abstractNumId="80">
    <w:nsid w:val="6A5EE64"/>
    <w:multiLevelType w:val="hybridMultilevel"/>
    <w:lvl w:ilvl="0">
      <w:lvlJc w:val="left"/>
      <w:lvlText w:val="8"/>
      <w:numFmt w:val="bullet"/>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jpe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jpe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98" Type="http://schemas.openxmlformats.org/officeDocument/2006/relationships/hyperlink" Target="https://www.sec.gov/ix?doc=/Archives/edgar/data/1981662/000121390026037687/ea0283766-20f_newgenivf.htm" TargetMode="External"/><Relationship Id="rId99" Type="http://schemas.openxmlformats.org/officeDocument/2006/relationships/hyperlink" Target="https://www.sec.gov/ix?doc=/Archives/edgar/data/1981662/000121390026096245/ea0304196-f1a1_newgenivf.htm" TargetMode="External"/><Relationship Id="rId100" Type="http://schemas.openxmlformats.org/officeDocument/2006/relationships/hyperlink" Target="https://www.sec.gov/Archives/edgar/data/1981662/000121390026059849/ea0291826-6k_newgenivf.htm" TargetMode="External"/><Relationship Id="rId101" Type="http://schemas.openxmlformats.org/officeDocument/2006/relationships/hyperlink" Target="https://www.sec.gov/Archives/edgar/data/1981662/000121390026061805/ea0292300-6k_newgenivf.htm" TargetMode="External"/><Relationship Id="rId102" Type="http://schemas.openxmlformats.org/officeDocument/2006/relationships/hyperlink" Target="https://www.sec.gov/Archives/edgar/data/1981662/000121390026065035/ea0293606-6k_newgenivf.htm" TargetMode="External"/><Relationship Id="rId103" Type="http://schemas.openxmlformats.org/officeDocument/2006/relationships/hyperlink" Target="https://www.sec.gov/Archives/edgar/data/1981662/000121390026067569/ea0293186-6k_newgenivf.htm" TargetMode="External"/><Relationship Id="rId104" Type="http://schemas.openxmlformats.org/officeDocument/2006/relationships/hyperlink" Target="https://www.sec.gov/Archives/edgar/data/1981662/000121390026069055/ea0294916-6k_newgenivf.htm" TargetMode="External"/><Relationship Id="rId105" Type="http://schemas.openxmlformats.org/officeDocument/2006/relationships/hyperlink" Target="https://www.sec.gov/Archives/edgar/data/1981662/000121390026069883/ea0295161-6k_newgenivf.htm" TargetMode="External"/><Relationship Id="rId106" Type="http://schemas.openxmlformats.org/officeDocument/2006/relationships/hyperlink" Target="https://www.sec.gov/Archives/edgar/data/1981662/000121390026105211/ea0307155-6k_newgeni.htm" TargetMode="External"/><Relationship Id="rId107" Type="http://schemas.openxmlformats.org/officeDocument/2006/relationships/hyperlink" Target="https://www.sec.gov/Archives/edgar/data/1981662/000121390026107372/ea0307936-6k_newgen.htm" TargetMode="External"/><Relationship Id="rId108" Type="http://schemas.openxmlformats.org/officeDocument/2006/relationships/hyperlink" Target="https://www.sec.gov/Archives/edgar/data/1981662/000121390026111191/ea0309267-6k_newgenivf.htm" TargetMode="External"/><Relationship Id="rId109" Type="http://schemas.openxmlformats.org/officeDocument/2006/relationships/hyperlink" Target="https://www.sec.gov/ix?doc=/Archives/edgar/data/1981662/000121390026112647/ea0309617-6ka1_newgenivf.htm" TargetMode="External"/><Relationship Id="rId110" Type="http://schemas.openxmlformats.org/officeDocument/2006/relationships/hyperlink" Target="https://www.sec.gov/Archives/edgar/data/1981662/000121390026037687/ea028376601ex2-5.htm" TargetMode="External"/><Relationship Id="rId114" Type="http://schemas.openxmlformats.org/officeDocument/2006/relationships/hyperlink" Target="https://www.sec.gov/Archives/edgar/data/1981662/000121390024031644/ea020344201ex2-1_newg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2026-10-27T08:01:32Z</dcterms:created>
  <dcterms:modified xsi:type="dcterms:W3CDTF">2026-10-27T08:01:32Z</dcterms:modified>
</cp:coreProperties>
</file>