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740" w:hanging="207"/>
        <w:spacing w:after="0"/>
        <w:tabs>
          <w:tab w:leader="none" w:pos="7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7"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020" w:hanging="198"/>
        <w:spacing w:after="0"/>
        <w:tabs>
          <w:tab w:leader="none" w:pos="10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3637915</wp:posOffset>
            </wp:positionH>
            <wp:positionV relativeFrom="paragraph">
              <wp:posOffset>-5080</wp:posOffset>
            </wp:positionV>
            <wp:extent cx="714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180" w:right="720" w:hanging="2454"/>
        <w:spacing w:after="0" w:line="500" w:lineRule="auto"/>
        <w:tabs>
          <w:tab w:leader="none" w:pos="92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 April 3,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001-42004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Not applicable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(Jurisdiction of incorporation or organization)</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36/39-36/40, 13th Floor, PS Tower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Sukhumvit 21 Road (Asoke)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Khlong Toei Nuea Sub-district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Watthana District, Bangkok 10110, Thailand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Address of Principal Executive Offices</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Mr. Wing Fung Alfred Siu, Chief Executive Officer</w:t>
      </w:r>
    </w:p>
    <w:p>
      <w:pPr>
        <w:spacing w:after="0" w:line="2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1/F, Pier 2, Central</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Hong Kong, 999077</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Tel: +852 2861 1666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alfred.siu@newgenivf.com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Name, Telephone, Email and/or Facsimile number and Address of Company Contact Person</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ordinary shares, no par value per share</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NIVF</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 (The Nasdaq</w:t>
            </w:r>
          </w:p>
        </w:tc>
      </w:tr>
      <w:tr>
        <w:trPr>
          <w:trHeight w:val="234"/>
        </w:trPr>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Global Market)</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to purchase Class A ordinary shares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NIVFW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right="48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April 3, 2024: 10,149,386 Class A ordinary shares and 8,319,988 warrants.</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904" w:right="339" w:bottom="1440" w:gutter="0" w:footer="0" w:header="0"/>
        </w:sectPr>
      </w:pPr>
    </w:p>
    <w:p>
      <w:pPr>
        <w:spacing w:after="0" w:line="1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120" w:space="720"/>
            <w:col w:w="3080" w:space="720"/>
            <w:col w:w="3600"/>
          </w:cols>
          <w:pgMar w:left="320" w:top="904" w:right="339" w:bottom="1440" w:gutter="0" w:footer="0" w:header="0"/>
          <w:type w:val="continuous"/>
        </w:sectPr>
      </w:pPr>
    </w:p>
    <w:p>
      <w:pPr>
        <w:spacing w:after="0" w:line="17" w:lineRule="exact"/>
        <w:rPr>
          <w:sz w:val="20"/>
          <w:szCs w:val="20"/>
          <w:color w:val="auto"/>
        </w:rPr>
      </w:pPr>
    </w:p>
    <w:p>
      <w:pPr>
        <w:jc w:val="both"/>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right="2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904"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92" w:lineRule="exact"/>
        <w:rPr>
          <w:sz w:val="20"/>
          <w:szCs w:val="20"/>
          <w:color w:val="auto"/>
        </w:rPr>
      </w:pPr>
    </w:p>
    <w:p>
      <w:pPr>
        <w:sectPr>
          <w:pgSz w:w="11900" w:h="16838" w:orient="portrait"/>
          <w:cols w:equalWidth="0" w:num="3">
            <w:col w:w="1540" w:space="720"/>
            <w:col w:w="6180" w:space="560"/>
            <w:col w:w="2240"/>
          </w:cols>
          <w:pgMar w:left="320" w:top="904" w:right="3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40" w:type="dxa"/>
            <w:vAlign w:val="bottom"/>
            <w:gridSpan w:val="11"/>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58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32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EXPLANATORY NOTE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5"/>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2. OFFER STATISTICS AND EXPECTED TIMETABLE</w:t>
            </w:r>
          </w:p>
        </w:tc>
        <w:tc>
          <w:tcPr>
            <w:tcW w:w="506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5"/>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4. INFORMATION ON THE COMPANY</w:t>
            </w:r>
          </w:p>
        </w:tc>
        <w:tc>
          <w:tcPr>
            <w:tcW w:w="622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10120" w:type="dxa"/>
            <w:vAlign w:val="bottom"/>
            <w:gridSpan w:val="25"/>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53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OPERATING AND FINANCIAL REVIEW AND PROSPECTS</w:t>
            </w:r>
          </w:p>
        </w:tc>
        <w:tc>
          <w:tcPr>
            <w:tcW w:w="44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0120" w:type="dxa"/>
            <w:vAlign w:val="bottom"/>
            <w:gridSpan w:val="25"/>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97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360" w:type="dxa"/>
            <w:vAlign w:val="bottom"/>
            <w:tcBorders>
              <w:top w:val="single" w:sz="8" w:color="CCEEFF"/>
            </w:tcBorders>
          </w:tcPr>
          <w:p>
            <w:pPr>
              <w:spacing w:after="0"/>
              <w:rPr>
                <w:sz w:val="15"/>
                <w:szCs w:val="15"/>
                <w:color w:val="auto"/>
              </w:rPr>
            </w:pPr>
          </w:p>
        </w:tc>
        <w:tc>
          <w:tcPr>
            <w:tcW w:w="60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372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97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60" w:type="dxa"/>
            <w:vAlign w:val="bottom"/>
          </w:tcPr>
          <w:p>
            <w:pPr>
              <w:spacing w:after="0"/>
              <w:rPr>
                <w:sz w:val="15"/>
                <w:szCs w:val="15"/>
                <w:color w:val="auto"/>
              </w:rPr>
            </w:pPr>
          </w:p>
        </w:tc>
        <w:tc>
          <w:tcPr>
            <w:tcW w:w="97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11. QUANTITATIVE AND QUALITATIVE DISCLOSURES ABOUT MARKET RISKS</w:t>
            </w:r>
          </w:p>
        </w:tc>
        <w:tc>
          <w:tcPr>
            <w:tcW w:w="276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10120" w:type="dxa"/>
            <w:vAlign w:val="bottom"/>
            <w:gridSpan w:val="25"/>
          </w:tcPr>
          <w:p>
            <w:pPr>
              <w:ind w:left="360"/>
              <w:spacing w:after="0" w:line="15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120" w:type="dxa"/>
            <w:vAlign w:val="bottom"/>
          </w:tcPr>
          <w:p>
            <w:pPr>
              <w:jc w:val="center"/>
              <w:spacing w:after="0" w:line="155" w:lineRule="exact"/>
              <w:rPr>
                <w:sz w:val="20"/>
                <w:szCs w:val="20"/>
                <w:color w:val="auto"/>
              </w:rPr>
            </w:pPr>
            <w:r>
              <w:rPr>
                <w:rFonts w:ascii="Arial" w:cs="Arial" w:eastAsia="Arial" w:hAnsi="Arial"/>
                <w:sz w:val="16"/>
                <w:szCs w:val="16"/>
                <w:color w:val="auto"/>
                <w:w w:val="89"/>
              </w:rPr>
              <w:t>8</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5"/>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97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360" w:type="dxa"/>
            <w:vAlign w:val="bottom"/>
            <w:tcBorders>
              <w:top w:val="single" w:sz="8" w:color="CCEEFF"/>
            </w:tcBorders>
          </w:tcPr>
          <w:p>
            <w:pPr>
              <w:spacing w:after="0"/>
              <w:rPr>
                <w:sz w:val="15"/>
                <w:szCs w:val="15"/>
                <w:color w:val="auto"/>
              </w:rPr>
            </w:pPr>
          </w:p>
        </w:tc>
        <w:tc>
          <w:tcPr>
            <w:tcW w:w="862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1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16. [RESERVED]</w:t>
            </w:r>
          </w:p>
        </w:tc>
        <w:tc>
          <w:tcPr>
            <w:tcW w:w="7960" w:type="dxa"/>
            <w:vAlign w:val="bottom"/>
            <w:tcBorders>
              <w:bottom w:val="single" w:sz="8" w:color="CCEEFF"/>
            </w:tcBorders>
            <w:gridSpan w:val="1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01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17. FINANCIAL STATEMENTS</w:t>
            </w:r>
          </w:p>
        </w:tc>
        <w:tc>
          <w:tcPr>
            <w:tcW w:w="684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6"/>
        </w:trPr>
        <w:tc>
          <w:tcPr>
            <w:tcW w:w="10120" w:type="dxa"/>
            <w:vAlign w:val="bottom"/>
            <w:gridSpan w:val="25"/>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5"/>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Shell Company Report on Form 20-F (including information incorporated by reference herein, the “Report”) is being filed by NewGenIvf Group Limited, a British Virgin Islands business company. Unless otherwise indicated, “we,” “us,” “our,” the “Company,” “NewGenIvf” and “PubCo,” and similar terminology refer to NewGenIvf Group Limited and its subsidiaries subsequent to the Business Combination (defined below). References to “Legacy NewGenIvf” and “NewGenIvf Limited” refer to NewGenIvf Limited, a Cayman Islands exempted company.</w:t>
      </w:r>
    </w:p>
    <w:p>
      <w:pPr>
        <w:spacing w:after="0" w:line="180" w:lineRule="exact"/>
        <w:rPr>
          <w:sz w:val="20"/>
          <w:szCs w:val="20"/>
          <w:color w:val="auto"/>
        </w:rPr>
      </w:pPr>
    </w:p>
    <w:p>
      <w:pPr>
        <w:jc w:val="both"/>
        <w:ind w:right="560" w:firstLine="648"/>
        <w:spacing w:after="0" w:line="261" w:lineRule="auto"/>
        <w:rPr>
          <w:sz w:val="20"/>
          <w:szCs w:val="20"/>
          <w:color w:val="auto"/>
        </w:rPr>
      </w:pPr>
      <w:r>
        <w:rPr>
          <w:rFonts w:ascii="Times New Roman" w:cs="Times New Roman" w:eastAsia="Times New Roman" w:hAnsi="Times New Roman"/>
          <w:sz w:val="18"/>
          <w:szCs w:val="18"/>
          <w:color w:val="auto"/>
        </w:rPr>
        <w:t>This Report contains or may contain forward-looking statements as defined in Section 27A of the Securities Act of 1933, as amended (the “Securities Act”), and Section 21E of the Securities Exchange Act of 1934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Words such as “expects,” “intends,” “plans,” “believes,” “anticipates,” “estimates,” and variations of such words and similar expressions are intended to identify the forward-looking statements. The risk factors and cautionary language referred to or incorporated by reference in this Report provide examples of risks, uncertainties and events that may cause actual results to differ materially from the expectations described in our forward-looking statements, including among other things, the items identified in the “Risk Factors” section of PubCo’s registration statement on Form F-4 (File No. 333-275208) initially filed with the Securities and Exchange Commission (the “SEC”) on October 27, 2023, as amended and as supplemented in PubCo’s prospectus supplement filed on March 1, 2024 (the “Prospectus Supplement” and collectively, the “Form F-4”), all of which are incorporated herein by reference.</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of this Report. Although we believe that the expectations reflected in such forward-looking statements are reasonable, there can be no assurance that such expectations will prove to be correct. These statements involve known and unknown risks and are based upon a number of assumptions and estimates which are inherently subject to significant uncertainties and contingencies, many of which are beyond our control. Actual results may differ materially from those expressed or implied by such forward-looking statements. We undertake no obligation to publicly update or revise any forward-looking statements contained in this Report, or the documents to which we refer readers in this Report, to reflect any change in our expectations with respect to such statements or any change in events, conditions or circumstances upon which any statement is based.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SPAC I Acquisition Corp., a British Virgin Islands business company (“ASCA”), A SPAC I Mini Acquisition Corp., a British Virgin Islands business company (“PubCo”), A SPAC I Mini Sub Acquisition Corp., a Cayman Islands exempted company and wholly-owned subsidiary of PubCo (the “Merger Sub”), and NewGenIvf Limited, a Cayman Islands exempted company (“Legacy NewGenIvf”), entered into a Merger Agreement dated as of February 15, 2023 (as amended on June 12, 2023, December 6, 2023 and March 1, 2024, the “Merger Agreement”). The Merger Agreement provided for a business combination which was effected in two steps: (i) ASCA reincorporated to British Virgin Islands by merging with and into PubCo, with PubCo remaining as the surviving publicly traded entity (the “Reincorporation Merger”), and (ii) following the Reincorporation Merger, Merger Sub merged with and into Legacy NewGenIvf, resulting in Legacy NewGenIvf being a wholly owned subsidiary of PubCo (the “Acquisition Merger,” together with Reincorporation Merger, the “Business Combination”).</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On February 29, 2024, ASCA, PubCo, Legacy NewGenIvf, the Merger Sub, and certain buyers named therein led by JAK Opportunities VI LLC (collectively, the “Buyers” or “JAK”) entered into a securities purchase agreement (the “Securities Purchase Agreement”), pursuant to which ASCA agreed to issue and sell to the Buyers, in a private placement, an aggregate of up to $3,500,000 principal amount of convertible notes (the “Notes”), consisting of one or more tranches: (i) an initial tranche (the “Initial Tranche”) of an aggregate principal amount of Notes of up to $1,750,000 and including an original issue discount of up to aggregate $122,500, and (ii) subsequent tranches of an aggregate principal amount of Notes of up to $1,750,000 and including an original issue discount of up to aggregate $122,500. The issuance of the Initial Tranche occurred on the date of the closing of the Business Combination. In connection with the issuance, JAK received a certain amount of ordinary shares of the Purchaser (the “Commitment Shares”), which were converted from NewGenIvf ordinary shares issued to JAK in February 2024 and equaled 295,000 ordinary shares of the Purchaser, as well as an additional 100,000 ordinary shares of the Purchaser, which were converted from NewGenIvf ordinary shares transferred by another shareholder to JAK in March 2024. In addition, a subsequent tranche of the Notes in the principal amount of $250,000 was issued and sold to JAK shortly after the closing of the Business Combination. As such, as of the date of this Report, an aggregate principal amount of Notes of $2,000,000 were issued and sold to JAK.</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March 1, 2024, ASCA entered into an acknowledgement agreement (the “Acknowledgement Agreement”) with Chardan Capital Markets, LLC (“Chardan”) and Legacy NewGenIvf related to the deferred underwriting commission owed to Chardan in connection with ASCA’s initial public offering. Pursuant to the Acknowledgement Agreement, ASCA will satisfy the deferred underwriting commission at the closing of the Business Combination with Legacy NewGenIvf, by (i) paying One Million U.S. Dollars (US $1,000,000) in cash to Chardan, (ii) issuing 1,500,000 PubCo Ordinary Shares (the “Additional Representative Shares”), and (iii) paying Chardan 30% of the gross proceeds from the post-closing financings of ASCA, until the deferred underwriting commission is fully paid within 6 months of the closing. The Acknowledgement Agreement also grants Chardan certain registration rights with respect to the ordinary shares and sole right of first refusal for future financings of ASCA for a period of 12 months following the closing and other considerations not related to ASCA’s business combination with NewGenIvf.</w:t>
      </w:r>
    </w:p>
    <w:p>
      <w:pPr>
        <w:spacing w:after="0" w:line="19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On April 3, 2024, PubCo consummated the Business Combination pursuant to the terms of the Merger Agreement and Legacy NewGenIvf became a wholly owned subsidiary of PubCo. This Report is being filed in connection with the Business Combination.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upon consummation of the Business Combination are set forth in the Form F-4 in the section entitled “Directors and Executive Officers of the Combined Company After the Business Combination” and is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for Au, Hok Man Jefferson, Foo, Yip Eng Jeremy and Richard Li, the address of our directors and executive officers is 36/39-36/40, 13th Floor, PS Tower, Sukhumvit 21 Road (Asoke), Khlong Toei Nuea Sub-district, Watthana District, Bangkok 10110, Thailand. The business address of Foo, Yip Eng Jeremy is 313 Pasir Panjang Road #05-05, Singapore 117482, Singapore. The business address of Richard Li is Level 1, 237 East Boundary Road, Bentleigh East, Victoria 3165,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Auditors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Marcum Asia CPAs LLP (“Marcum Asia”), 7 Penn Plaza, Suite 830, New York, New York, 10001, acted as A SPAC I Acquisition Corp.’s independent registered public accountant since April 29, 2021 (inception) through April 3, 2024, the date of the Business Combination.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WWC, P.C., San Mateo, California, 94403 acted as the independent auditor of Legacy NewGenIvf as of December 31, 2022 and 2021 and for the years then ended.</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Onestop Assurance PAC (“Onestop”), 10 Anson Road, #06-15 International Plaza, Singapore 079903, is being engaged as the independent auditor of PubCo.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00" w:hanging="652"/>
        <w:spacing w:after="0" w:line="530" w:lineRule="auto"/>
        <w:tabs>
          <w:tab w:leader="none" w:pos="222"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740" w:hanging="652"/>
        <w:spacing w:after="0" w:line="500" w:lineRule="auto"/>
        <w:tabs>
          <w:tab w:leader="none" w:pos="2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risk factors associated with PubCo’s business are described in the Form F-4 in the section entitled “Risk Factors” and are incorporated herein by reference.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ind w:left="100" w:right="140" w:firstLine="648"/>
        <w:spacing w:after="0" w:line="254" w:lineRule="auto"/>
        <w:rPr>
          <w:sz w:val="20"/>
          <w:szCs w:val="20"/>
          <w:color w:val="auto"/>
        </w:rPr>
      </w:pPr>
      <w:r>
        <w:rPr>
          <w:rFonts w:ascii="Times New Roman" w:cs="Times New Roman" w:eastAsia="Times New Roman" w:hAnsi="Times New Roman"/>
          <w:sz w:val="18"/>
          <w:szCs w:val="18"/>
          <w:color w:val="auto"/>
        </w:rPr>
        <w:t>The legal name of PubCo is NewGenIvf Group Limited. PubCo was incorporated as a British Virgin Islands business company on January 26, 2023. PubCo has been the consolidating entity for purposes of Legacy NewGenIvf’s financial statements since the consummation of the Business Combination on April 3, 2024. The history and development of PubCo and the material terms of the Business Combination are set forth in the Form F-4 in the sections entitled “Summary of the Proxy Statement/Prospectus,” “Proposal No. 1 – The Reincorporation Merger Proposal,” “Proposal No. 2 – The Acquisition Merger Proposal,” and “Description of Combined Company’s Securities,” which are incorporated herein by reference. See “Explanatory Note” in this Report for additional information regarding PubCo and the Business Combination. Certain information about PubCo is set forth in “Item 4.B — Business Overview” and is incorporated herein by reference. The material terms of the Business Combination are set forth in Item 10 of this Report.</w:t>
      </w:r>
    </w:p>
    <w:p>
      <w:pPr>
        <w:spacing w:after="0" w:line="1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PubCo’s registered office is Ritter House, Wickhams Cay II, PO Box 3170, Road Town, Tortola VG1110, British Virgin Islands, and its principal executive office is 36/39-36/40, 13th Floor, PS Tower, Sukhumvit 21 Road (Asoke), Khlong Toei Nuea Sub-district, Watthana District, Bangkok 10110, Thailand. PubCo’s principal website address is https://www.newgenivf.com. We do not incorporate the information contained on, or accessible through, PubCO’s websites into this Report, and you should not consider it a part of this Report. The SEC maintains an Internet site that contains reports, proxy and information statements, and other information regarding issuers that file electronically with the SEC. The SEC’s website is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Following and as a result of the Business Combination, PubCo conduct its operation primarily in Asia Pacific countries through clinics in Thailand, Cambodia and Kyrgyzstan, providing mainly two services, namely: (i) in-vitro fertilization (“IVF”) treatment service, comprising traditional IVF and egg donation and (ii) surrogacy and ancillary caring services. A description of the business of Legacy NewGenIvf is included in the Form F-4 in the sections entitled “Information about NewGenIvf” and “Management’s Discussion and Analysis of Financial Condition and Results of Operations of NewGenIvf,” which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Legacy NewGenIvf became a wholly owned subsidiary of PubCo. The following diagram depicts a simplified organizational structure of PubCo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114300</wp:posOffset>
            </wp:positionV>
            <wp:extent cx="5572125" cy="254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212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Legacy NewGenIvf leases the properties for its principal executive office, which is located on 36/39-36/40, 13th Floor, PS Tower, Sukhumvit 21 Road (Asoke) Khlong Toei Nuea Sub-district, Watthana District, Bangkok 10110, Thailand with an aggregate area of approximately 14,750 square feet. Legacy NewGenIvf also leases another property in Cambodia with an aggregate area of 18,567 square feet and in Kyrgyzstan with an aggregate area of 2,368 square feet. Such properties are described in the Form F-4 in the section entitled “Information about NewGenIvf” and are incorporated herein by reference. In addition, Legacy NewGenIvf entered into a lease agreement in May 2023 for a property located in Thailand with an aggregate area of approximately 2,500 square feet. This property will be used mainly as Legacy NewGenIvf’s second clinic in Thailand, which is expected to open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discussion and analysis of the financial condition of Legacy NewGenIvf is included in the Form F-4 in the section entitled “Management’s Discussion and Analysis of Financial Condition and Results of Operations of NewGenIvf,”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 Identity of Directors, Senior Management and Advisers—A. Directors and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 compensation of PubCo’s executive officers and directors is described in the Form F-4 in the section entitled “Directors and Executive Officers of the Combined Company after the Business Combination” which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 Identity of Directors, Senior Management and Advisers—A. Directors and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Legacy NewGenIvf’s employees is described in the Form F-4 in the section entitled “Information about NewGenIvf – Employees,” which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Ownership of PubCo’s shares by its executive officers and directors upon consummation of the Business Combination is set forth in Item 7.A of this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April 3, 2024 by:</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officers and directors as a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calculations in the table below are based on 10,149,386 ordinary shares issued and outstanding as of April 3,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40" w:type="dxa"/>
            <w:vAlign w:val="bottom"/>
            <w:gridSpan w:val="2"/>
            <w:vMerge w:val="continue"/>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0" w:type="dxa"/>
            <w:vAlign w:val="bottom"/>
          </w:tcPr>
          <w:p>
            <w:pPr>
              <w:spacing w:after="0"/>
              <w:rPr>
                <w:sz w:val="1"/>
                <w:szCs w:val="1"/>
                <w:color w:val="auto"/>
              </w:rPr>
            </w:pP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Greater 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Fong, Hei Yue Tina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2,326,000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Siu, Wing Fung Alfred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Chardan Capital Market, LLC</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Future Yield Holdings Limited</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 SPAC (Holdings) Acquisition Corp.</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Kit Yee Sze</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546,925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Fong, Hei Yue Tina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Siu, Wing Fung Alfred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1,779,500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 Hok Man Jefferson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 Yip Eng Jeremy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Chiu, Wai Yip Raymond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 (6 individuals)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4,105,500</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Au, Hok Man Jefferson, Foo, Yip Eng Jeremy and Richard Li, the address of our directors and executive officers is 36/39-36/40, 13th Floor, PS Tower, Sukhumvit 21 Road (Asoke), Khlong Toei Nuea Sub-district, Watthana District, Bangkok 10110, Thailand. The business address of Foo, Yip Eng Jeremy is 313 Pasir Panjang Road #05-05, Singapore 117482, Singapore. The business address of Richard Li is Level 1, 237 East Boundary Road, Bentleigh East, Victoria 3165, Australia.</w:t>
      </w:r>
    </w:p>
    <w:p>
      <w:pPr>
        <w:spacing w:after="0" w:line="179"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Capital Market, LLC, is controlled by Steven Urbach. The business address of Chardan Capital Market, LLC is 17 State Street, 21ST Floor, New York, New York, 10004.</w:t>
      </w:r>
    </w:p>
    <w:p>
      <w:pPr>
        <w:spacing w:after="0" w:line="16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Future Yield Holdings Limited is Sea Meadow House, Blackburne Highway, (P.O. Box 116), Road Town, Tortola, British Virgin Islands.</w:t>
      </w:r>
    </w:p>
    <w:p>
      <w:pPr>
        <w:spacing w:after="0" w:line="16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SPAC (Holdings) Acquisition Corp. (“Sponsor”) is controlled by Mr. Claudius Tsang. The business address of the Sponsor is Level 39, Marina Bay Financial Centre, Tower 2, 10 Marina Boulevard, Singapore 018983.</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Kit Yee Sze is Unit 06, 11/F Tower 1, Harbour Center, 1 Hok Cheung St., Hung Hom, Kowloon, Hong Kong.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related party transactions are described in the Form F-4 in the section entitled “Certain Relationships and Related Party Transactions”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have been, and may from time to time be involved in various legal proceedings arising from the normal course of business activities. The results of litigation cannot be predicted with certainty, and regardless of the outcome, litigation can have an adverse impact on our business, financial condition and/or operations because of defence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policy on dividend distributions is set forth in the Form F-4 in the section entitled “Trading Market and Dividends — Combined Company — Dividend Policy,” which is incorporated herein by reference.</w:t>
      </w:r>
    </w:p>
    <w:p>
      <w:pPr>
        <w:spacing w:after="0" w:line="158"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Global Market under the symbols “NIVF” and our warrants are listed on the Nasdaq Capital Market and “NIVFW,”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Global Market under the symbols “NIVF” and our warrants are listed on the Nasdaq Capital Market and “NIVFW,”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are authorized to issue a maximum of 101,000,100 shares with no par value divided into 100,000,000 Class A ordinary shares, 100 Class B ordinary shares and 1,000,000 preferred shares. As of April 3, 2024, subsequent to closing of the Business Combination, there were 10,149,386 Class A ordinary shares outstanding. There were also 8,319,988 warrants outstanding, each exercisable to purchase one Class A ordinary share at a price of $11.50 per full share. Certain of our shareholders are subject to lock-up as contained in the Form F-4 in the section entitled “Proposal No. 2—The Acquisition Merger Proposal— Additional Agreements to be Executed at Closing —Lock-up Agreement and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BVI business company incorporated under the laws of the British Virgin Islands and our affairs are governed by our memorandum and articles of association, as amended and restated from time to time, and BVI Business Companies Act, 2004 (as amended), which we refer to as the “Companies Act” below, and the common law of the BVI.</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Report our Amended and Restated Memorandum and Articles of Association, the form of which was filed as Annex B to our registration statement on Form F-4 (File No. 333-275208) initially filed with the Securities and Exchange Commission on October 27, 2023, as amended, which are incorporated herein by reference. Our shareholders adopted our Amended and Restated Memorandum and Articles of Association by a resolution of shareholders on March 1, 2024, which became effective upon the effective date of the Reincorporation Merger.</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and Restated Memorandum and Articles of Association and the Companies Act insofar as they relate to the material terms of our ordinary shares.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registered office is at Ritter House, Wickhams Cay II, PO Box 3170, Road Town, Tortola VG 1110, British Virgin Islands, the office of our registered agent Ogier Global (BVI) Limited.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Capacity and Power</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According to Clause 4 of our Amended and Restated Memorandum of Association, we have, subject to the Companies Act and any other British Virgin Islands legislation for the time being in force, irrespective of corporate benefit: (a) full capacity to carry on or undertake any business or activity, do any act or enter into any transaction; and (b) for the purposes of paragraph (a), full rights, powers and privileges.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description of our ordinary shares is contained in the Form F-4 in the section entitled “Description of Combined Company’s Securities,”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 Relating to our Operations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Information pertaining to our material contracts is set forth in the Form F-4, in the sections entitled “Information about NewGenIvf,” “Risk Factors — Risks Related to NewGenIvf’s Business and Industry,” “Risk Factors — Risks Related to NewGenIvf’s Relationships with Third Parties,” “Management’s Discussion and Analysis of Financial Condition and Results of Operations of NewGenIvf” and “Certain Relationships and Related Person Transactions,” each of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 Relating to the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description of the Merger Agreement in set forth in the Form F-4 in the section entitled “Proposal No. 2 – The Acquisition Merger Proposal</w:t>
      </w:r>
    </w:p>
    <w:p>
      <w:pPr>
        <w:spacing w:after="0" w:line="27" w:lineRule="exact"/>
        <w:rPr>
          <w:sz w:val="20"/>
          <w:szCs w:val="20"/>
          <w:color w:val="auto"/>
        </w:rPr>
      </w:pPr>
    </w:p>
    <w:p>
      <w:pPr>
        <w:ind w:right="6060"/>
        <w:spacing w:after="0" w:line="490" w:lineRule="auto"/>
        <w:rPr>
          <w:sz w:val="20"/>
          <w:szCs w:val="20"/>
          <w:color w:val="auto"/>
        </w:rPr>
      </w:pPr>
      <w:r>
        <w:rPr>
          <w:rFonts w:ascii="Times New Roman" w:cs="Times New Roman" w:eastAsia="Times New Roman" w:hAnsi="Times New Roman"/>
          <w:sz w:val="18"/>
          <w:szCs w:val="18"/>
          <w:color w:val="auto"/>
        </w:rPr>
        <w:t>— The Merger Agreement,” which is incorporated herein by reference. Related Agreements</w:t>
      </w: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description of the material provisions of certain additional agreements entered into or to be entered into in connection with the Merger Agreement is set forth in the Form F-4 in the sections entitled “Proposal No. 2 – The Acquisition Merger Proposal — Certain Related Agreements” and “Proposal No. 2 – The Acquisition Merger Proposal — Additional Agreements to be Executed at Closing,” each of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 and Other Limitations Affecting Security Holders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Under the laws of the British Virgin Islands, there are currently no restrictions on the export or import of capital, including foreign exchange controls or restrictions that affect the remittance of dividends, interest or other payments to non-resident holders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material United States federal income tax consequences of owning and disposing of our securities following the Business Combination are described in the Form F-4 in the sections entitled “Material U.S. Federal Income Tax Consequences,”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policy on dividend distributions is set forth in the Form F-4 in the section entitled “Trading Market and Dividends — Combined Company — Dividend Policy,” which is incorporated herein by reference. We do not currently have a paying agent.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The SEC also maintains a website at http://www.sec.gov that contains reports and other information that we file with or furnish electronically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entitled “Management’s Discussion and Analysis of Financial Condition and Results of Operations of NewGenIvf —Quantitative and Qualitative Disclosure about Market Risk” in the Form F-4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Upon the completion of the Business Combination, there were 8,319,988 PubCo Warrants outstanding. The PubCo Warrants, which entitle the holder to purchase one Ordinary Share at an exercise price of $11.50 per share, will become exercisable on May 3, 2024, which is 30 days after the completion of the Business Combination. The Public Warrants will expire on April 3, 2029 (i.e., five years after the completion of the Business Combination) or earlier upon redemption or liquidation in accordance with their terms. The terms of the PubCo Warrants are described in the Form F-4 under the heading “Description of Combined Company’s Securities—PubCo Warrants,” which information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terms of the Notes issued to JAK are described on the cover page of the Prospectus Supplement, which information is incorporated herein by reference.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3" w:name="page14"/>
    <w:bookmarkEnd w:id="13"/>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MATERIAL MODIFICATIONS TO THE RIGHTS OF SECURITY HOLDERS AND USE OF PROCEEDS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center"/>
        <w:ind w:right="77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7679"/>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CERTIFYING ACCOUNTANT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Onestop is being engaged as the independent auditor of PubCo. In connection with the Business Combination, Marcum Asia, which was the auditor for A SPAC I Acquisition Corp., was dismissed effective April 3, 2024.</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Asia on the financial statements of A SPAC I Acquisition Corp. as of December 31, 2023 and 2022, and for each of the two years in the period ended December 31, 2023, did not contain any adverse opinion or a disclaimer of opinion, nor were such reports qualified or modified as to uncertainty, audit scope, or accounting principles. Marcum Asia’s audit report contained an explanatory paragraph related to the substantial doubt of going concern.</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and December 31, 2022 and through April 3, 2024, the effective date of the Business Combination (the “Effective Date”), there were no “disagreements,” as that term is defined in Item 16F(a)(1)(iv) of Form 20-F and the related instructions to Item 16F of Form 20-F, with Marcum Asia on any matter of accounting principles or practices, financial statement disclosures, or auditing scope or procedure, which such disagreements, if not resolved to the satisfaction of Marcum Asia, would have caused Marcum Asia to make reference thereto in its reports on the financial statements of A SPAC I Acquisition Corp. for such periods. During the years ended December 31, 2023 and December 31, 2022 and through the Effective Date, there were no “reportable events” as that term is described in paragraphs (A) through (D) of Item 16F(a)(1)(v) of Form 20-F.</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During the years end December 31, 2023 and December 31, 2022 and through the Effective Date, neither PubCo, nor anyone on its behalf, consulted Onestop regarding either (i) the application of accounting principles to a specified transaction, either completed or proposed, or the type of audit opinion that might be rendered with respect to the financial statements of PubCo and neither a written report was provided to PubCo or oral advice was provided that Onestop concluded was an important factor considered by PubCo in reaching a decision as to the accounting, auditing or financial reporting issue; or (i) any matter that was either the subject of a “disagreement,” as that term is defined in Item 16F(a)(1)(iv) of Form 20-F and the related instructions to Item 16F of Form 20-F, or a “reportable event,” as that term is described in Item 16F(a)(1)(v) of Form 20-F.</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PubCo provided Marcum Asia with a copy of the disclosure it is making in this Report and requested that Marcum Asia furnish PubCo with a letter addressed to the U.S. Securities and Exchange Commission (the “SEC”), pursuant to Item 16F(a)(3) of Form 20-F, stating whether Marcum Asia agrees with the statements made by PubCo in this Report, and if not, in which respects Marcum Asia does not agree. A copy of Marcum Asia’s letter to the Securities and Exchange Commission dated April 9, 2024 is attached as Exhibit 15.1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disclosures on pages F-42 to F-97 of the Form F-4, including the unaudited interim condensed consolidated financial statements of Legacy NewGenIvf as of June 30, 2023 and December 31, 2022 and for the six months ended June 30, 2023 and 2022, and the audited consolidated financial statements of Legacy NewGenIvf as of December 31, 2022 and 2021 and for each of the years in the two-year period ended December 31, 2022, are incorporated by reference herein.</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disclosures on pages F-1 to F-21 of ASCA’s annual report on Form 10-K for the year ended December 31, 2023, as filed with the SEC on March 29, 2024, including the audited financial statements of ASCA as of and for the years ended December 31, 2023 and 2022, are incorporated by reference herein.</w:t>
      </w:r>
    </w:p>
    <w:p>
      <w:pPr>
        <w:spacing w:after="0" w:line="176"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Form F-4 in the section entitled “Unaudited Pro Forma Condensed Combined Financial Statements”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20" w:type="dxa"/>
            <w:vAlign w:val="bottom"/>
            <w:tcBorders>
              <w:top w:val="single" w:sz="8" w:color="auto"/>
              <w:bottom w:val="single" w:sz="8" w:color="0000EE"/>
            </w:tcBorders>
            <w:gridSpan w:val="20"/>
            <w:shd w:val="clear" w:color="auto" w:fill="CCEEFF"/>
          </w:tcPr>
          <w:p>
            <w:pPr>
              <w:spacing w:after="0" w:line="169"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Amended and Restated Memorandum and Articles of Association of PubCo (incorporated by reference to Annex B of PubCo’s registration</w:t>
              </w:r>
            </w:hyperlink>
          </w:p>
        </w:tc>
        <w:tc>
          <w:tcPr>
            <w:tcW w:w="80" w:type="dxa"/>
            <w:vAlign w:val="bottom"/>
            <w:tcBorders>
              <w:top w:val="single" w:sz="8" w:color="auto"/>
              <w:bottom w:val="single" w:sz="8" w:color="CCEEFF"/>
            </w:tcBorders>
            <w:gridSpan w:val="4"/>
            <w:shd w:val="clear" w:color="auto" w:fill="CCEEFF"/>
          </w:tcPr>
          <w:p>
            <w:pPr>
              <w:spacing w:after="0"/>
              <w:rPr>
                <w:sz w:val="14"/>
                <w:szCs w:val="14"/>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72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statement on Form F-4 (File No. 333-275208), filed with the Securities and Exchange Commission on October 27, 2023)</w:t>
              </w:r>
            </w:hyperlink>
          </w:p>
        </w:tc>
        <w:tc>
          <w:tcPr>
            <w:tcW w:w="1380" w:type="dxa"/>
            <w:vAlign w:val="bottom"/>
            <w:tcBorders>
              <w:bottom w:val="single" w:sz="8" w:color="CCEEFF"/>
            </w:tcBorders>
            <w:gridSpan w:val="15"/>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Specimen Class A Ordinary Share Certificate of PubCo</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5"/>
                <w:szCs w:val="15"/>
                <w:color w:val="auto"/>
              </w:rPr>
            </w:pPr>
          </w:p>
        </w:tc>
        <w:tc>
          <w:tcPr>
            <w:tcW w:w="10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Specimen Warrant Certificate of PubCo</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5"/>
                <w:szCs w:val="15"/>
                <w:color w:val="auto"/>
              </w:rPr>
            </w:pPr>
          </w:p>
        </w:tc>
        <w:tc>
          <w:tcPr>
            <w:tcW w:w="99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Warrant Agreement, dated February 14, 2022, by and between ASCA and Continental Stock Transfer &amp; Trust Company (incorporated by</w:t>
              </w:r>
            </w:hyperlink>
          </w:p>
        </w:tc>
        <w:tc>
          <w:tcPr>
            <w:tcW w:w="200" w:type="dxa"/>
            <w:vAlign w:val="bottom"/>
            <w:gridSpan w:val="9"/>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reference to Exhibit 4.2 to ASCA’s Current Report on Form 8-K filed with the Securities and Exchange Commission on February 18,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Assumption of Warrant Agreement (incorporated by reference to Exhibit 4.7 to PubCo’s registration statement on Form F-4 (File</w:t>
              </w:r>
            </w:hyperlink>
          </w:p>
        </w:tc>
        <w:tc>
          <w:tcPr>
            <w:tcW w:w="16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No. 333-275208), filed with the Securities and Exchange Commission on October 27,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Merger Agreement, dated as of February 15, 2023, by and among ASCA, NewGenIvf Limited, certain shareholders of NewGenIvf Limited,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A SPAC I Mini Acquisition Corp., and A SPAC I Mini Sub Acquisition Corp. (incorporated by reference to Exhibit 2.1 to ASCA’s Current</w:t>
              </w:r>
            </w:hyperlink>
          </w:p>
        </w:tc>
        <w:tc>
          <w:tcPr>
            <w:tcW w:w="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Report on Form 8-K filed with the Securities and Exchange Commission on February 16,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First Amendment to the Merger Agreement, dated June 12, 2023, by and among ASCA, NewGenIvf Limited, Principal Shareholders, A</w:t>
              </w:r>
            </w:hyperlink>
          </w:p>
        </w:tc>
        <w:tc>
          <w:tcPr>
            <w:tcW w:w="30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7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SPAC I Mini Acquisition Corp. and A SPAC I Mini Sub Acquisition Corp. (incorporated by reference to Exhibit 2.1 to ASCA’s Current</w:t>
              </w:r>
            </w:hyperlink>
          </w:p>
        </w:tc>
        <w:tc>
          <w:tcPr>
            <w:tcW w:w="320" w:type="dxa"/>
            <w:vAlign w:val="bottom"/>
            <w:tcBorders>
              <w:bottom w:val="single" w:sz="8" w:color="CCEEFF"/>
            </w:tcBorders>
            <w:gridSpan w:val="12"/>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Report on Form 8-K filed with the Securities and Exchange Commission on June 13,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Second Amendment to the Merger Agreement, dated December 6, 2023, by and among ASCA, NewGenIvf Limited, Principal</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7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Shareholders, A SPAC I Mini Acquisition Corp. and A SPAC I Mini Sub Acquisition Corp. (incorporated by reference to Exhibit 2.1 to</w:t>
              </w:r>
            </w:hyperlink>
          </w:p>
        </w:tc>
        <w:tc>
          <w:tcPr>
            <w:tcW w:w="34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ASCA’s Current Report on Form 8-K filed with the Securities and Exchange Commission on December 6,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Third Amendment to the Merger Agreement, dated March 1, 2024, by and among ASCA, NewGenIvf Limited, Principal Shareholders, A</w:t>
              </w:r>
            </w:hyperlink>
          </w:p>
        </w:tc>
        <w:tc>
          <w:tcPr>
            <w:tcW w:w="18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7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SPAC I Mini Acquisition Corp. and A SPAC I Mini Sub Acquisition Corp. (incorporated by reference to Exhibit 2.1 to ASCA’s Current</w:t>
              </w:r>
            </w:hyperlink>
          </w:p>
        </w:tc>
        <w:tc>
          <w:tcPr>
            <w:tcW w:w="320" w:type="dxa"/>
            <w:vAlign w:val="bottom"/>
            <w:tcBorders>
              <w:bottom w:val="single" w:sz="8" w:color="CCEEFF"/>
            </w:tcBorders>
            <w:gridSpan w:val="12"/>
            <w:shd w:val="clear" w:color="auto" w:fill="CCEEFF"/>
          </w:tcPr>
          <w:p>
            <w:pPr>
              <w:spacing w:after="0"/>
              <w:rPr>
                <w:sz w:val="17"/>
                <w:szCs w:val="17"/>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Report on Form 8-K filed with the Securities and Exchange Commission on March 6, 2024)</w:t>
              </w:r>
            </w:hyperlink>
          </w:p>
        </w:tc>
        <w:tc>
          <w:tcPr>
            <w:tcW w:w="3460" w:type="dxa"/>
            <w:vAlign w:val="bottom"/>
            <w:tcBorders>
              <w:bottom w:val="single" w:sz="8" w:color="CCEEFF"/>
            </w:tcBorders>
            <w:gridSpan w:val="1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Stock Escrow Agreement, dated February 14, 2022 by and between ASCA and Continental Stock Transfer &amp; Trust Company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by reference to Exhibit 10.5 to ASCA’s Current Report on Form 8-K filed with the Securities and Exchange Commission on February 18,</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2022)</w:t>
              </w:r>
            </w:hyperlink>
          </w:p>
        </w:tc>
        <w:tc>
          <w:tcPr>
            <w:tcW w:w="114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Voting and Support Agreement, dated as of February 15, 2023, by and among A SPAC I Acquisition Corp., A SPAC I Mini Acquisition</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140" w:type="dxa"/>
            <w:vAlign w:val="bottom"/>
            <w:gridSpan w:val="4"/>
            <w:shd w:val="clear" w:color="auto" w:fill="0000EE"/>
          </w:tcPr>
          <w:p>
            <w:pPr>
              <w:spacing w:after="0" w:line="20" w:lineRule="exact"/>
              <w:rPr>
                <w:sz w:val="1"/>
                <w:szCs w:val="1"/>
                <w:color w:val="auto"/>
              </w:rPr>
            </w:pPr>
          </w:p>
        </w:tc>
        <w:tc>
          <w:tcPr>
            <w:tcW w:w="3620" w:type="dxa"/>
            <w:vAlign w:val="bottom"/>
            <w:gridSpan w:val="7"/>
            <w:shd w:val="clear" w:color="auto" w:fill="0000EE"/>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Corp., NewGenIvf Limited, and certain shareholders of NewGenIvf Limited (incorporated by reference to Exhibit 10.1 to ASCA’s Current</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Report on Form 8-K filed with the Securities and Exchange Commission on February 16, 2023)</w:t>
              </w:r>
            </w:hyperlink>
          </w:p>
        </w:tc>
        <w:tc>
          <w:tcPr>
            <w:tcW w:w="120" w:type="dxa"/>
            <w:vAlign w:val="bottom"/>
            <w:tcBorders>
              <w:top w:val="single" w:sz="8" w:color="CCEEFF"/>
            </w:tcBorders>
            <w:gridSpan w:val="6"/>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gridSpan w:val="24"/>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Amended and Restated Registration Rights Agreement (incorporated by reference to Exhibit 10.2 to ASCA’s Current Report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8-K filed with the Securities and Exchange Commission on February 16, 2023)</w:t>
              </w:r>
            </w:hyperlink>
          </w:p>
        </w:tc>
        <w:tc>
          <w:tcPr>
            <w:tcW w:w="280" w:type="dxa"/>
            <w:vAlign w:val="bottom"/>
            <w:gridSpan w:val="10"/>
          </w:tcPr>
          <w:p>
            <w:pPr>
              <w:spacing w:after="0"/>
              <w:rPr>
                <w:sz w:val="17"/>
                <w:szCs w:val="17"/>
                <w:color w:val="auto"/>
              </w:rPr>
            </w:pPr>
          </w:p>
        </w:tc>
      </w:tr>
      <w:tr>
        <w:trPr>
          <w:trHeight w:val="70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40" w:type="dxa"/>
            <w:vAlign w:val="bottom"/>
            <w:tcBorders>
              <w:top w:val="single" w:sz="8" w:color="0000EE"/>
              <w:bottom w:val="single" w:sz="8" w:color="auto"/>
            </w:tcBorders>
            <w:gridSpan w:val="4"/>
          </w:tcPr>
          <w:p>
            <w:pPr>
              <w:ind w:left="434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01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Form of Lock-Up Agreement</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99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Securities Purchase Agreement, dated February 29, 2024, by and among ASCA, PubCo, Legacy NewGenIvf, the Buyers and Merger Sub</w:t>
              </w:r>
            </w:hyperlink>
          </w:p>
        </w:tc>
        <w:tc>
          <w:tcPr>
            <w:tcW w:w="200" w:type="dxa"/>
            <w:vAlign w:val="bottom"/>
            <w:gridSpan w:val="6"/>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(incorporated by reference to Exhibit 10.1 to ASCA’s Current Report on Form 8-K filed with the Securities and Exchange Commission on</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March 6, 2024)</w:t>
              </w:r>
            </w:hyperlink>
          </w:p>
        </w:tc>
      </w:tr>
      <w:tr>
        <w:trPr>
          <w:trHeight w:val="20"/>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Note between PubCo and the Buyers (incorporated by reference to Exhibit 10.2 to ASCA’s Current Report on Form 8-K filed with</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the Securities and Exchange Commission on March 6, 2024)</w:t>
              </w:r>
            </w:hyperlink>
          </w:p>
        </w:tc>
        <w:tc>
          <w:tcPr>
            <w:tcW w:w="564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gridSpan w:val="25"/>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Acknowledgement Agreement, dated March 1, 2024, by and among ASCA, Legacy NewGenIvf and Chardan (incorporated by reference to</w:t>
              </w:r>
            </w:hyperlink>
          </w:p>
        </w:tc>
      </w:tr>
      <w:tr>
        <w:trPr>
          <w:trHeight w:val="196"/>
        </w:trPr>
        <w:tc>
          <w:tcPr>
            <w:tcW w:w="1140" w:type="dxa"/>
            <w:vAlign w:val="bottom"/>
          </w:tcPr>
          <w:p>
            <w:pPr>
              <w:spacing w:after="0"/>
              <w:rPr>
                <w:sz w:val="17"/>
                <w:szCs w:val="17"/>
                <w:color w:val="auto"/>
              </w:rPr>
            </w:pPr>
          </w:p>
        </w:tc>
        <w:tc>
          <w:tcPr>
            <w:tcW w:w="100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Exhibit 10.3 to ASCA’s Current Report on Form 8-K filed with the Securities and Exchange Commission on March 6, 2024)</w:t>
              </w:r>
            </w:hyperlink>
          </w:p>
        </w:tc>
        <w:tc>
          <w:tcPr>
            <w:tcW w:w="80" w:type="dxa"/>
            <w:vAlign w:val="bottom"/>
            <w:gridSpan w:val="2"/>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996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Power Generator Lease Contract, dated January 10, 2021, between BD &amp; H TECH Co., LTD. and First Fertility Phnom Penh Ltd (English</w:t>
              </w:r>
            </w:hyperlink>
          </w:p>
        </w:tc>
        <w:tc>
          <w:tcPr>
            <w:tcW w:w="140" w:type="dxa"/>
            <w:vAlign w:val="bottom"/>
            <w:tcBorders>
              <w:bottom w:val="single" w:sz="8" w:color="CCEEFF"/>
            </w:tcBorders>
            <w:gridSpan w:val="5"/>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Translation) (incorporated by reference to Exhibit 10.19 to PubCo’s registration statement on Form F-4 (File No. 333-275208), filed with</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58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the Securities and Exchange Commission on October 27, 2023)</w:t>
              </w:r>
            </w:hyperlink>
          </w:p>
        </w:tc>
        <w:tc>
          <w:tcPr>
            <w:tcW w:w="530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gridSpan w:val="25"/>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Property Lease Contract, dated June 22, 2020, between SOK HEANG and First Fertility Phnom Penh Ltd (English Translation)</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(incorporated by reference to Exhibit 10.20 to PubCo’s registration statement on Form F-4 (File No. 333-275208), filed with the Securities</w:t>
              </w:r>
            </w:hyperlink>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and Exchange Commission on October 27, 2023)</w:t>
              </w:r>
            </w:hyperlink>
          </w:p>
        </w:tc>
        <w:tc>
          <w:tcPr>
            <w:tcW w:w="120" w:type="dxa"/>
            <w:vAlign w:val="bottom"/>
            <w:gridSpan w:val="4"/>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96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MicroSort Lease and Services Agreement, dated March 29, 2019, between First Fertility Phnom Penh Ltd and MicroSort International</w:t>
              </w:r>
            </w:hyperlink>
          </w:p>
        </w:tc>
        <w:tc>
          <w:tcPr>
            <w:tcW w:w="42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(incorporated by reference to Exhibit 10.21 to PubCo’s registration statement on Form F-4 (File No. 333-275208), filed with the Securities</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and Exchange Commission on October 27, 2023)</w:t>
              </w:r>
            </w:hyperlink>
          </w:p>
        </w:tc>
        <w:tc>
          <w:tcPr>
            <w:tcW w:w="642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gridSpan w:val="25"/>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Management and Administrative Services Agreement, dated November 1, 2022, between First Fertility PGS Center Ltd and Med Holdings</w:t>
              </w:r>
            </w:hyperlink>
          </w:p>
        </w:tc>
      </w:tr>
      <w:tr>
        <w:trPr>
          <w:trHeight w:val="196"/>
        </w:trPr>
        <w:tc>
          <w:tcPr>
            <w:tcW w:w="11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Ltd (incorporated by reference to Exhibit 10.22 to PubCo’s registration statement on Form F-4 (File No. 333-275208), filed with the</w:t>
              </w:r>
            </w:hyperlink>
          </w:p>
        </w:tc>
        <w:tc>
          <w:tcPr>
            <w:tcW w:w="46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Securities and Exchange Commission on October 27, 2023)</w:t>
              </w:r>
            </w:hyperlink>
          </w:p>
        </w:tc>
      </w:tr>
      <w:tr>
        <w:trPr>
          <w:trHeight w:val="21"/>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10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MicroSort Lease and Services Agreement, dated April, 8, 2019, between First Fertility PGS Center Ltd. and MicroSort International</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80" w:type="dxa"/>
            <w:vAlign w:val="bottom"/>
            <w:gridSpan w:val="4"/>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(incorporated by reference to Exhibit 10.23 to PubCo’s registration statement on Form F-4 (File No. 333-275208), filed with the Securities</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and Exchange Commission on October 27, 2023)</w:t>
              </w:r>
            </w:hyperlink>
          </w:p>
        </w:tc>
        <w:tc>
          <w:tcPr>
            <w:tcW w:w="642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gridSpan w:val="25"/>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Medical Consulting Service Agreement, dated January 1, 2021, between First Fertility PGS Center Ltd and First Fertility Phnom Penh Ltd</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by reference to Exhibit 10.24 to PubCo’s registration statement on Form F-4 (File No. 333-275208), filed with the Securities</w:t>
              </w:r>
            </w:hyperlink>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and Exchange Commission on October 27, 2023)</w:t>
              </w:r>
            </w:hyperlink>
          </w:p>
        </w:tc>
        <w:tc>
          <w:tcPr>
            <w:tcW w:w="12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95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Receivables Purchase Agreement, dated December, 28, 2022, between First Fertility PGS Center Ltd and Mr. Siu, Wing Fung Alfred</w:t>
              </w:r>
            </w:hyperlink>
          </w:p>
        </w:tc>
        <w:tc>
          <w:tcPr>
            <w:tcW w:w="52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(incorporated by reference to Exhibit 10.25 to PubCo’s registration statement on Form F-4 (File No. 333-275208), filed with the Securities</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and Exchange Commission on October 27, 2023)</w:t>
              </w:r>
            </w:hyperlink>
          </w:p>
        </w:tc>
        <w:tc>
          <w:tcPr>
            <w:tcW w:w="642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00" w:type="dxa"/>
            <w:vAlign w:val="bottom"/>
            <w:gridSpan w:val="25"/>
          </w:tcPr>
          <w:p>
            <w:pPr>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Master Services Agreement, dated December 21, 2022, between First Fertility PGS Center Ltd and First Fertility Phnom Penh Ltd</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(incorporated by reference to Exhibit 10.26 to PubCo’s registration statement on Form F-4 (File No. 333-275208), filed with the Securities</w:t>
              </w:r>
            </w:hyperlink>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and Exchange Commission on October 27, 2023)</w:t>
              </w:r>
            </w:hyperlink>
          </w:p>
        </w:tc>
        <w:tc>
          <w:tcPr>
            <w:tcW w:w="12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08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of Agreement for Storage of Embryos, Eggs, and Sperms Service between First Fertility PGS Center Ltd and Reproductive Expert Co</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954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Ltd (incorporated by reference to Exhibit 10.27 to PubCo’s registration statement on Form F-4 (File No. 333-275208), filed with the</w:t>
              </w:r>
            </w:hyperlink>
          </w:p>
        </w:tc>
        <w:tc>
          <w:tcPr>
            <w:tcW w:w="56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Securities and Exchange Commission on October 27, 2023)</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Form of NewGenIvf Group Limited 2024 Share Incentive Plan</w:t>
            </w:r>
          </w:p>
        </w:tc>
      </w:tr>
      <w:tr>
        <w:trPr>
          <w:trHeight w:val="20"/>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1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1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Letter from Marcum Asia CPAs LLP, independent registered public accounting firm of ASCA</w:t>
            </w:r>
          </w:p>
        </w:tc>
      </w:tr>
      <w:tr>
        <w:trPr>
          <w:trHeight w:val="21"/>
        </w:trPr>
        <w:tc>
          <w:tcPr>
            <w:tcW w:w="11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101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from Marcum Asia CPAs LLP, independent registered public accounting firm of ASCA</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2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NEWGENIVF GROUP LIMITED</w:t>
            </w:r>
          </w:p>
        </w:tc>
      </w:tr>
      <w:tr>
        <w:trPr>
          <w:trHeight w:val="43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April 9, 2024</w:t>
            </w:r>
          </w:p>
        </w:tc>
        <w:tc>
          <w:tcPr>
            <w:tcW w:w="410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Fung Alfred Siu</w:t>
            </w:r>
          </w:p>
        </w:tc>
      </w:tr>
      <w:tr>
        <w:trPr>
          <w:trHeight w:val="198"/>
        </w:trPr>
        <w:tc>
          <w:tcPr>
            <w:tcW w:w="3220" w:type="dxa"/>
            <w:vAlign w:val="bottom"/>
          </w:tcPr>
          <w:p>
            <w:pPr>
              <w:spacing w:after="0"/>
              <w:rPr>
                <w:sz w:val="17"/>
                <w:szCs w:val="17"/>
                <w:color w:val="auto"/>
              </w:rPr>
            </w:pPr>
          </w:p>
        </w:tc>
        <w:tc>
          <w:tcPr>
            <w:tcW w:w="4100" w:type="dxa"/>
            <w:vAlign w:val="bottom"/>
          </w:tcPr>
          <w:p>
            <w:pPr>
              <w:ind w:left="35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Fung Alfred Siu</w:t>
            </w:r>
          </w:p>
        </w:tc>
      </w:tr>
      <w:tr>
        <w:trPr>
          <w:trHeight w:val="234"/>
        </w:trPr>
        <w:tc>
          <w:tcPr>
            <w:tcW w:w="3220" w:type="dxa"/>
            <w:vAlign w:val="bottom"/>
          </w:tcPr>
          <w:p>
            <w:pPr>
              <w:spacing w:after="0"/>
              <w:rPr>
                <w:sz w:val="20"/>
                <w:szCs w:val="20"/>
                <w:color w:val="auto"/>
              </w:rPr>
            </w:pPr>
          </w:p>
        </w:tc>
        <w:tc>
          <w:tcPr>
            <w:tcW w:w="410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-13-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ind w:left="1040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SPECIMEN CLASS A ORDINARY SHARE CERTIFICATE</w:t>
      </w:r>
    </w:p>
    <w:p>
      <w:pPr>
        <w:sectPr>
          <w:pgSz w:w="11900" w:h="16838" w:orient="portrait"/>
          <w:cols w:equalWidth="0" w:num="1">
            <w:col w:w="11240"/>
          </w:cols>
          <w:pgMar w:left="320" w:top="117"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SHARES</w:t>
      </w:r>
    </w:p>
    <w:p>
      <w:pPr>
        <w:spacing w:after="0" w:line="200" w:lineRule="exact"/>
        <w:rPr>
          <w:sz w:val="20"/>
          <w:szCs w:val="20"/>
          <w:color w:val="auto"/>
        </w:rPr>
      </w:pPr>
    </w:p>
    <w:p>
      <w:pPr>
        <w:sectPr>
          <w:pgSz w:w="11900" w:h="16838" w:orient="portrait"/>
          <w:cols w:equalWidth="0" w:num="2">
            <w:col w:w="9560" w:space="720"/>
            <w:col w:w="960"/>
          </w:cols>
          <w:pgMar w:left="320" w:top="117" w:right="339" w:bottom="1440"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INCORPORATED UNDER THE LAWS OF THE BRITISH VIRGIN ISLANDS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OWNER OF ____________________________________________________________________</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FULLY PAID AND NON-ASSESSABLE CLASS A ORDINARY SHARES OF NO PAR VALUE OF</w:t>
      </w: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NEWGENIVF GROUP LIMITED</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(the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G0544E105</w:t>
      </w:r>
    </w:p>
    <w:p>
      <w:pPr>
        <w:spacing w:after="0" w:line="2173" w:lineRule="exact"/>
        <w:rPr>
          <w:sz w:val="20"/>
          <w:szCs w:val="20"/>
          <w:color w:val="auto"/>
        </w:rPr>
      </w:pPr>
    </w:p>
    <w:p>
      <w:pPr>
        <w:sectPr>
          <w:pgSz w:w="11900" w:h="16838" w:orient="portrait"/>
          <w:cols w:equalWidth="0" w:num="2">
            <w:col w:w="9320" w:space="500"/>
            <w:col w:w="1420"/>
          </w:cols>
          <w:pgMar w:left="320" w:top="11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transferable on the books of the Company in person or by duly authorized attorney upon surrender of this certificate properly endorsed.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the seal of the Company and the facsimile signatures of its duly authorized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30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4"/>
        </w:trPr>
        <w:tc>
          <w:tcPr>
            <w:tcW w:w="2480" w:type="dxa"/>
            <w:vAlign w:val="bottom"/>
          </w:tcPr>
          <w:p>
            <w:pPr>
              <w:spacing w:after="0"/>
              <w:rPr>
                <w:sz w:val="24"/>
                <w:szCs w:val="24"/>
                <w:color w:val="auto"/>
              </w:rPr>
            </w:pPr>
          </w:p>
        </w:tc>
        <w:tc>
          <w:tcPr>
            <w:tcW w:w="8760" w:type="dxa"/>
            <w:vAlign w:val="bottom"/>
            <w:gridSpan w:val="3"/>
          </w:tcPr>
          <w:p>
            <w:pPr>
              <w:jc w:val="center"/>
              <w:ind w:right="2390"/>
              <w:spacing w:after="0"/>
              <w:rPr>
                <w:sz w:val="20"/>
                <w:szCs w:val="20"/>
                <w:color w:val="auto"/>
              </w:rPr>
            </w:pPr>
            <w:r>
              <w:rPr>
                <w:rFonts w:ascii="Times New Roman" w:cs="Times New Roman" w:eastAsia="Times New Roman" w:hAnsi="Times New Roman"/>
                <w:sz w:val="18"/>
                <w:szCs w:val="18"/>
                <w:color w:val="auto"/>
              </w:rPr>
              <w:t>NEWGENIVF GROUP LIMITED</w:t>
            </w:r>
          </w:p>
        </w:tc>
      </w:tr>
      <w:tr>
        <w:trPr>
          <w:trHeight w:val="414"/>
        </w:trPr>
        <w:tc>
          <w:tcPr>
            <w:tcW w:w="2480" w:type="dxa"/>
            <w:vAlign w:val="bottom"/>
          </w:tcPr>
          <w:p>
            <w:pPr>
              <w:spacing w:after="0"/>
              <w:rPr>
                <w:sz w:val="24"/>
                <w:szCs w:val="24"/>
                <w:color w:val="auto"/>
              </w:rPr>
            </w:pPr>
          </w:p>
        </w:tc>
        <w:tc>
          <w:tcPr>
            <w:tcW w:w="8760" w:type="dxa"/>
            <w:vAlign w:val="bottom"/>
            <w:gridSpan w:val="3"/>
          </w:tcPr>
          <w:p>
            <w:pPr>
              <w:jc w:val="center"/>
              <w:ind w:right="2370"/>
              <w:spacing w:after="0"/>
              <w:rPr>
                <w:sz w:val="20"/>
                <w:szCs w:val="20"/>
                <w:color w:val="auto"/>
              </w:rPr>
            </w:pPr>
            <w:r>
              <w:rPr>
                <w:rFonts w:ascii="Times New Roman" w:cs="Times New Roman" w:eastAsia="Times New Roman" w:hAnsi="Times New Roman"/>
                <w:sz w:val="18"/>
                <w:szCs w:val="18"/>
                <w:color w:val="auto"/>
                <w:w w:val="98"/>
              </w:rPr>
              <w:t>[CORPORATE SEAL]</w:t>
            </w:r>
          </w:p>
        </w:tc>
      </w:tr>
      <w:tr>
        <w:trPr>
          <w:trHeight w:val="234"/>
        </w:trPr>
        <w:tc>
          <w:tcPr>
            <w:tcW w:w="2480" w:type="dxa"/>
            <w:vAlign w:val="bottom"/>
          </w:tcPr>
          <w:p>
            <w:pPr>
              <w:spacing w:after="0"/>
              <w:rPr>
                <w:sz w:val="20"/>
                <w:szCs w:val="20"/>
                <w:color w:val="auto"/>
              </w:rPr>
            </w:pPr>
          </w:p>
        </w:tc>
        <w:tc>
          <w:tcPr>
            <w:tcW w:w="8760" w:type="dxa"/>
            <w:vAlign w:val="bottom"/>
            <w:gridSpan w:val="3"/>
          </w:tcPr>
          <w:p>
            <w:pPr>
              <w:jc w:val="center"/>
              <w:ind w:right="2370"/>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682"/>
        </w:trPr>
        <w:tc>
          <w:tcPr>
            <w:tcW w:w="2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will furnish without charge to each shareholder who so requests the powers, designations, preferences and relative, participating, optional or other special rights of each class of share or series thereof of the Company and the qualifications, limitations, or restrictions of such preferences and/or rights. This certificate and the Class A Ordinary Shares represented thereby are issued and shall be held subject to all the provisions of the Company’s Memorandum and Articles of Association and all amendments thereto and resolutions of the Board of Directors providing for the issuance of Class A Ordinary Shares (copies of which may be obtained from the secretary of the Company), to all of which the holder of this certificate by acceptance hereof assents.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as tenants in common</w:t>
            </w:r>
          </w:p>
        </w:tc>
        <w:tc>
          <w:tcPr>
            <w:tcW w:w="28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28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10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as joint tenants with right of survivorship and not as tenants in common</w:t>
            </w:r>
          </w:p>
        </w:tc>
      </w:tr>
      <w:tr>
        <w:trPr>
          <w:trHeight w:val="43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UNIF GIFT MIN ACT —</w:t>
            </w:r>
          </w:p>
        </w:tc>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Custodian</w:t>
            </w:r>
          </w:p>
        </w:tc>
      </w:tr>
      <w:tr>
        <w:trPr>
          <w:trHeight w:val="218"/>
        </w:trPr>
        <w:tc>
          <w:tcPr>
            <w:tcW w:w="10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(Cust)</w:t>
            </w:r>
          </w:p>
        </w:tc>
        <w:tc>
          <w:tcPr>
            <w:tcW w:w="2800" w:type="dxa"/>
            <w:vAlign w:val="bottom"/>
          </w:tcPr>
          <w:p>
            <w:pPr>
              <w:spacing w:after="0"/>
              <w:rPr>
                <w:sz w:val="18"/>
                <w:szCs w:val="18"/>
                <w:color w:val="auto"/>
              </w:rPr>
            </w:pPr>
          </w:p>
        </w:tc>
        <w:tc>
          <w:tcPr>
            <w:tcW w:w="33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(Minor)</w:t>
            </w:r>
          </w:p>
        </w:tc>
      </w:tr>
    </w:tbl>
    <w:p>
      <w:pPr>
        <w:ind w:left="3380"/>
        <w:spacing w:after="0"/>
        <w:rPr>
          <w:sz w:val="20"/>
          <w:szCs w:val="20"/>
          <w:color w:val="auto"/>
        </w:rPr>
      </w:pPr>
      <w:r>
        <w:rPr>
          <w:rFonts w:ascii="Times New Roman" w:cs="Times New Roman" w:eastAsia="Times New Roman" w:hAnsi="Times New Roman"/>
          <w:sz w:val="18"/>
          <w:szCs w:val="18"/>
          <w:color w:val="auto"/>
        </w:rPr>
        <w:t>under Uniform Gifts to Minors</w:t>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5715</wp:posOffset>
            </wp:positionV>
            <wp:extent cx="39173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ind w:left="7920"/>
        <w:spacing w:after="0"/>
        <w:rPr>
          <w:sz w:val="20"/>
          <w:szCs w:val="20"/>
          <w:color w:val="auto"/>
        </w:rPr>
      </w:pPr>
      <w:r>
        <w:rPr>
          <w:rFonts w:ascii="Times New Roman" w:cs="Times New Roman" w:eastAsia="Times New Roman" w:hAnsi="Times New Roman"/>
          <w:sz w:val="18"/>
          <w:szCs w:val="18"/>
          <w:color w:val="auto"/>
        </w:rPr>
        <w:t>(State)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 ______________________hereby sell, assign and transfer unto</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742950</wp:posOffset>
            </wp:positionV>
            <wp:extent cx="57092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57092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capital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7092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to transfer the said share on the books of the within named Corporation will full power of substitution in the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53232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53232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092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7" w:lineRule="exact"/>
        <w:rPr>
          <w:sz w:val="20"/>
          <w:szCs w:val="20"/>
          <w:color w:val="auto"/>
        </w:rPr>
      </w:pPr>
    </w:p>
    <w:p>
      <w:pPr>
        <w:jc w:val="both"/>
        <w:ind w:left="5080" w:hanging="798"/>
        <w:spacing w:after="0" w:line="255" w:lineRule="auto"/>
        <w:rPr>
          <w:sz w:val="20"/>
          <w:szCs w:val="20"/>
          <w:color w:val="auto"/>
        </w:rPr>
      </w:pPr>
      <w:r>
        <w:rPr>
          <w:rFonts w:ascii="Times New Roman" w:cs="Times New Roman" w:eastAsia="Times New Roman" w:hAnsi="Times New Roman"/>
          <w:sz w:val="18"/>
          <w:szCs w:val="18"/>
          <w:color w:val="auto"/>
        </w:rPr>
        <w:t>NOTICE: The signature(s) to this assignment must correspond with the name(s) as written upon the face of the certificate in every particular, without alteration or enlargement or any change whatever.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7092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57092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10400"/>
        <w:spacing w:after="0"/>
        <w:rPr>
          <w:sz w:val="20"/>
          <w:szCs w:val="20"/>
          <w:color w:val="auto"/>
        </w:rPr>
      </w:pPr>
      <w:r>
        <w:rPr>
          <w:rFonts w:ascii="Times New Roman" w:cs="Times New Roman" w:eastAsia="Times New Roman" w:hAnsi="Times New Roman"/>
          <w:sz w:val="17"/>
          <w:szCs w:val="17"/>
          <w:b w:val="1"/>
          <w:bCs w:val="1"/>
          <w:color w:val="auto"/>
        </w:rPr>
        <w:t>Exhibit 2.2</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SPECIMEN WARRANT CERTIFICATE</w:t>
      </w:r>
    </w:p>
    <w:p>
      <w:pPr>
        <w:sectPr>
          <w:pgSz w:w="11900" w:h="16838" w:orient="portrait"/>
          <w:cols w:equalWidth="0" w:num="1">
            <w:col w:w="11240"/>
          </w:cols>
          <w:pgMar w:left="320" w:top="117"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WARRANTS</w:t>
      </w:r>
    </w:p>
    <w:p>
      <w:pPr>
        <w:spacing w:after="0" w:line="200" w:lineRule="exact"/>
        <w:rPr>
          <w:sz w:val="20"/>
          <w:szCs w:val="20"/>
          <w:color w:val="auto"/>
        </w:rPr>
      </w:pPr>
    </w:p>
    <w:p>
      <w:pPr>
        <w:sectPr>
          <w:pgSz w:w="11900" w:h="16838" w:orient="portrait"/>
          <w:cols w:equalWidth="0" w:num="2">
            <w:col w:w="9260" w:space="720"/>
            <w:col w:w="1260"/>
          </w:cols>
          <w:pgMar w:left="320" w:top="117" w:right="33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WARRANT WILL BE VOID IF NOT EXERCISED PRIOR TO THE EXPIRATION OF THE EXERCISE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PERIOD PROVIDED FOR IN THE WARRANT AGREEMENT DESCRIBED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7"/>
          <w:szCs w:val="17"/>
          <w:color w:val="auto"/>
        </w:rPr>
        <w:t>CUSIP G0544E113</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THIS WARRANT CERTIFICATE CERTIFIES THAT, for value received</w:t>
      </w:r>
      <w:r>
        <w:rPr>
          <w:sz w:val="20"/>
          <w:szCs w:val="20"/>
          <w:color w:val="auto"/>
        </w:rPr>
        <w:tab/>
      </w:r>
      <w:r>
        <w:rPr>
          <w:rFonts w:ascii="Times New Roman" w:cs="Times New Roman" w:eastAsia="Times New Roman" w:hAnsi="Times New Roman"/>
          <w:sz w:val="17"/>
          <w:szCs w:val="17"/>
          <w:color w:val="auto"/>
        </w:rPr>
        <w:t>, or registered agents, is the registered holder of a Warrant or Warrants (the</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“Warrant”) to purchase fully paid and non-assessable Class A ordinary shares (the “Warrant Shares”), no par value, of NewGenIvf Group Limited, a British Virgin Islands company (the “Company”). This Warrant Certificate is subject to and shall be interpreted under the terms and conditions of the Warrant Agreement (as defined below).</w:t>
      </w:r>
    </w:p>
    <w:p>
      <w:pPr>
        <w:spacing w:after="0" w:line="18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Each whole Warrant entitles the holder thereof, upon exercise during the period set forth in the Warrant Agreement, to purchase from the Company, from time to time, in whole or in part, a number of Warrant Shares initially at the price of $11.50 per share (the “Warrant Price”), upon surrender of this Warrant Certificate and payment of the Warrant Price at the office or agency of Continental Stock Transfer &amp; Trust (the “Warrant Agent”), such payment to be made subject to the conditions set forth herein and in the Warrant Agreement, dated February 14, 2022, between A SPAC I Acquisition Corp., a British Virgin Islands company (“SPAC”), and the Warrant Agent, as supplemented by the Assumption of Warrant Agreement, dated April 3, 2024, among the Company, SPAC and the Warrant Agent (as supplemented,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 The Warrant Agreement provides that upon the occurrence of certain events the Warrant Price, the Redemption Trigger Price (as defined below), and the number of Warrant Shares purchasable hereunder, set forth on the face hereof, may, subject to certain conditions, be adjusted.</w:t>
      </w:r>
    </w:p>
    <w:p>
      <w:pPr>
        <w:spacing w:after="0" w:line="190"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Subject to the conditions set forth in the Warrant Agreement, the Warrants may be exercised only during the exercise period provided for in the Warrant Agreement and to the extent not exercised by the end of such exercise period, such Warrants shall become null and void. The Warrants may be redeemed, subject to certain conditions, as set forth in the Warrant Agreement.</w:t>
      </w:r>
    </w:p>
    <w:p>
      <w:pPr>
        <w:spacing w:after="0" w:line="176"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4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76"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Warrant does not entitle the registered holder(s) to any of the rights of a shareholder of the Company.</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shares has been equal to or greater than $16.50 per share (as adjusted for share splits, share capitalizations, rights issuances, subdivisions, reorganizations, recapitalizations and the like) (the “Redemption Trigger Price”) for any twenty (20) trading days within a thirty (30) trading day period ending on the third (3rd) trading day prior to the date on which notice of such call is given, provided that (i) a registration statement under the Securities Act of 1933, as amended (the “Securities Act”) with respect to the Class A ordinary shares underlying the Warrants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Securities Act. The call price is $0.01 per Warrant.</w:t>
      </w:r>
    </w:p>
    <w:p>
      <w:pPr>
        <w:spacing w:after="0" w:line="200" w:lineRule="exact"/>
        <w:rPr>
          <w:sz w:val="20"/>
          <w:szCs w:val="20"/>
          <w:color w:val="auto"/>
        </w:rPr>
      </w:pPr>
    </w:p>
    <w:p>
      <w:pPr>
        <w:spacing w:after="0" w:line="2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688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NEWGENIVF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WARRANT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t>[REVERSE OF WARRANT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SUBSCRIPTION FORM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Holder(s) in Order to Exercise Warrants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Class A ordinary shares in accordance with the terms of this Warrant Certificate and pursuant to the method selected below. Capitalized terms used herein and not otherwise defined have the respective meanings set forth in the Warrant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ONE METHOD OF PAYMENT:</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Warrant Shares; and/or</w:t>
      </w:r>
    </w:p>
    <w:p>
      <w:pPr>
        <w:spacing w:after="0" w:line="20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Warrant Shares pursuant to the Warrant</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Agreement, in which event the Company shall</w:t>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deliver to the registered holder(s) the number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of Class A ordinary shares as determined in</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accordance with the Warrant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requests that a certificate for such shares be registered in the name(s) 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NAME(S) AND 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(PLEASE PRINT OR TYPE NAME(S)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holder(s) at the address(es)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IDENTIFICATION NUMBER(S))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color w:val="auto"/>
        </w:rPr>
        <w:t>ASSIGNMENT</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To Be Executed by the Registered Holder in Order to Assign Warrants</w:t>
      </w:r>
    </w:p>
    <w:p>
      <w:pPr>
        <w:spacing w:after="0" w:line="223"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i w:val="1"/>
          <w:iCs w:val="1"/>
          <w:color w:val="auto"/>
        </w:rPr>
        <w:t>For Value Received,</w:t>
      </w:r>
      <w:r>
        <w:rPr>
          <w:sz w:val="20"/>
          <w:szCs w:val="20"/>
          <w:color w:val="auto"/>
        </w:rPr>
        <w:tab/>
      </w:r>
      <w:r>
        <w:rPr>
          <w:rFonts w:ascii="Times New Roman" w:cs="Times New Roman" w:eastAsia="Times New Roman" w:hAnsi="Times New Roman"/>
          <w:sz w:val="17"/>
          <w:szCs w:val="17"/>
          <w:i w:val="1"/>
          <w:iCs w:val="1"/>
          <w:color w:val="auto"/>
        </w:rPr>
        <w:t>hereby sell(s), assign(s), and transfer(s) unto</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NAME(S) AND ADDRESS(ES))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(PLEASE PRINT OR TYPE NAME(S) AND ADDRESS(ES))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NOTICE: THE SIGNATURE(S) TO THIS ASSIGNMENT MUST CORRESPOND WITH THE NAME AS WRITTEN UPON THE FACE OF THE CERTIFICATE IN EVERY PARTICULAR, WITHOUT ALTERATION OR ENLARGEMENT OR ANY CHANGE WHATEVER.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_________ ____, 2024 by and between the undersigned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SPAC I Mini Acquisition Corp., a British Virgin Islands business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Capitalized terms used and not otherwise defined herein shall have the meanings given such terms in the Merger Agreement (as defined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A SPAC I Acquisition Corp., a British Virgin Islands business company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Purchaser, A SPAC I Mini Sub Acquisition Corp., a Cayman Islands exempted company and a wholly owned subsidiary of Purchaser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NewGenIvf Limited,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certain other parties entered into the Merger Agreement dated as of February 15, 2023 (as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Pursuant to the Merger Agreement, Purchaser will become the 100% stockholder of the Company.</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C. The Holder is the record and/or beneficial owner of shares of the Company, which will be exchanged for Purchaser Class A Ordinary Shares pursuant to the Merger Agreement.</w:t>
      </w:r>
    </w:p>
    <w:p>
      <w:pPr>
        <w:spacing w:after="0" w:line="16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D. As a condition of, and as a material inducement for Purchaser Parties and the Company to enter into and consummate the transactions contemplated by the Merger Agreement, the Holder has agreed to execute and deliver this Agreement.</w:t>
      </w:r>
    </w:p>
    <w:p>
      <w:pPr>
        <w:spacing w:after="0" w:line="162" w:lineRule="exact"/>
        <w:rPr>
          <w:sz w:val="20"/>
          <w:szCs w:val="20"/>
          <w:color w:val="auto"/>
        </w:rPr>
      </w:pPr>
    </w:p>
    <w:p>
      <w:pPr>
        <w:ind w:right="720" w:firstLine="972"/>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80"/>
        <w:spacing w:after="0" w:line="258" w:lineRule="auto"/>
        <w:tabs>
          <w:tab w:leader="none" w:pos="12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Lock-up Period (as defined below), the Holder irrevocably agrees that it, he or she will not directly offer, sell, contract to sell, pledge or otherwise dispose of any of the Lock-up Shares (as defined below), or enter into any swap, hedge or other arrangement that transfers, in whole or in part, any such Lock-up Shares, whether any of these transactions are to be settled by delivery of any such Lock-up Shares, in cash or otherwise, publicly disclose the intention to make any such offer, sale, pledge or disposition, or to enter into any such transaction, swap, hedge or other arrangement, or engage in any Short Sales (as defined below) with respect to any security of Purchaser.</w:t>
      </w:r>
    </w:p>
    <w:p>
      <w:pPr>
        <w:spacing w:after="0" w:line="183" w:lineRule="exact"/>
        <w:rPr>
          <w:rFonts w:ascii="Times New Roman" w:cs="Times New Roman" w:eastAsia="Times New Roman" w:hAnsi="Times New Roman"/>
          <w:sz w:val="18"/>
          <w:szCs w:val="18"/>
          <w:color w:val="auto"/>
        </w:rPr>
      </w:pPr>
    </w:p>
    <w:p>
      <w:pPr>
        <w:ind w:right="80" w:firstLine="980"/>
        <w:spacing w:after="0" w:line="261" w:lineRule="auto"/>
        <w:tabs>
          <w:tab w:leader="none" w:pos="12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Purchaser will (i) place an irrevocable stop order on all Lock-up Shares, including those which may be covered by a registration statement, and (ii) notify Purchaser’s transfer agent in writing of the stop order and the restrictions on such Lock-up Shares under this Agreement and direct Purchaser’s transfer agent not to process any attempts by the Holder to resell or transfer any Lock-up Shares, except in compliance with this Agreement.</w:t>
      </w:r>
    </w:p>
    <w:p>
      <w:pPr>
        <w:spacing w:after="0" w:line="179" w:lineRule="exact"/>
        <w:rPr>
          <w:rFonts w:ascii="Times New Roman" w:cs="Times New Roman" w:eastAsia="Times New Roman" w:hAnsi="Times New Roman"/>
          <w:sz w:val="18"/>
          <w:szCs w:val="18"/>
          <w:color w:val="auto"/>
        </w:rPr>
      </w:pPr>
    </w:p>
    <w:p>
      <w:pPr>
        <w:ind w:right="20" w:firstLine="980"/>
        <w:spacing w:after="0" w:line="261" w:lineRule="auto"/>
        <w:tabs>
          <w:tab w:leader="none" w:pos="12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include, without limitation, all “short sales” as defined in Rule 200 promulgated under Regulation SHO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firstLine="980"/>
        <w:spacing w:after="0" w:line="266" w:lineRule="auto"/>
        <w:tabs>
          <w:tab w:leader="none" w:pos="12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shall mean, (i) with respect to the Lock-up Shares other than the Earnout Shares, the period commencing on the Closing Date and ending on the date that is one (1) year thereafter; and (ii) with respect to the Earnout Shares, the period commending on the date of the issuance of such Earnout Shares and ending on the date that is one (1) year thereafter.</w:t>
      </w:r>
    </w:p>
    <w:p>
      <w:pPr>
        <w:spacing w:after="0" w:line="176"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The restrictions set forth herein shall not apply to: (1) in the case of a corporation, limited liability company, partnership, trust or other entity, transfers or distributions to the Holder’s current general or limited partners, managers or members, stockholders, other equity holders or direct or indirect affiliates (within the meaning of Rule 405 under the Securities Act of 1933, as amended) or to the estates of any of the foregoing; (2) transfers to a corporation, limited liability company, partnership, trust or other entity that is wholly owned, directly or indirectly, by the Holder; (3) transfers by bona fide gift to a member of the Holder’s immediate family (for purposes of this Agreement, “immediate family” shall mean with respect to any natural person, any of the following: such person’s spouse, the siblings of such person and his or her spouse, and the direct descendants and ascendants (including adopted and step children and parents), in each case, of such person) or to a trust, the beneficiary of which is the Holder or a member of the Holder’s immediate family for estate planning purposes; (4) by virtue of the laws of descent and distribution upon death of the Holder; or (5) pursuant to a qualified domestic relations order, provided that in each case such transferee, distributee or devisee shall agree to be bound in writing by the terms of this Agreement prior to such transfer or disposition.</w:t>
      </w:r>
    </w:p>
    <w:p>
      <w:pPr>
        <w:spacing w:after="0" w:line="194" w:lineRule="exact"/>
        <w:rPr>
          <w:sz w:val="20"/>
          <w:szCs w:val="20"/>
          <w:color w:val="auto"/>
        </w:rPr>
      </w:pPr>
    </w:p>
    <w:p>
      <w:pPr>
        <w:ind w:right="40" w:firstLine="972"/>
        <w:spacing w:after="0" w:line="256" w:lineRule="auto"/>
        <w:rPr>
          <w:sz w:val="20"/>
          <w:szCs w:val="20"/>
          <w:color w:val="auto"/>
        </w:rPr>
      </w:pPr>
      <w:r>
        <w:rPr>
          <w:rFonts w:ascii="Times New Roman" w:cs="Times New Roman" w:eastAsia="Times New Roman" w:hAnsi="Times New Roman"/>
          <w:sz w:val="18"/>
          <w:szCs w:val="18"/>
          <w:color w:val="auto"/>
        </w:rPr>
        <w:t>In addition, after the Closing Date, if there is a Change of Control, then upon the consum-mation of such Change of Control, all Lock-up Shares shall be released from the restrictions contained herein.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sale of all or substantially all of the consolidated assets of Purchaser and Purchaser subsidiaries to a third-party purchaser; (b) a sale resulting in no less than a majority of the voting power of the Purchaser being held by person that did not own a majority of the voting power prior to such sale; or (c) a merger, consolidation, recapitalization or reorganization of Purchaser with or into a third-party purchaser that results in the inability of the pre-transaction equity holders to designate or elect a majority of the Board of Directors (or its equivalent) of the resulting entity or its parent company.</w:t>
      </w:r>
    </w:p>
    <w:p>
      <w:pPr>
        <w:spacing w:after="0" w:line="187" w:lineRule="exact"/>
        <w:rPr>
          <w:sz w:val="20"/>
          <w:szCs w:val="20"/>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Release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0"/>
        <w:spacing w:after="0" w:line="256" w:lineRule="auto"/>
        <w:tabs>
          <w:tab w:leader="none" w:pos="12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that is six (6) months after the Closing Date (in the case of the Lock-up Shares other than the Earnout Shares), the VWAP of the Purchaser Class A Ordinary Shares over any twenty (20) Trading Days within any thirty (30) Trading Day period is greater than or equal to $15.00 (as adjusted for share splits, share capitalization, subdivisions, reorganization, recapitalization and other similar arrangements), 20% of the Lock-up Shares (other than the Earnout Shares) shall be released from this Agreement and no longer be subject to the restrictions set forth herein. For the avoidance of doubt, the early release arrangement contemplated by this Section 2(a) shall not apply for more than once and no more than 20% of the Lock-up Shares (other than the Earnout Shares) shall be released from this Agreement.</w:t>
      </w:r>
    </w:p>
    <w:p>
      <w:pPr>
        <w:spacing w:after="0" w:line="187" w:lineRule="exact"/>
        <w:rPr>
          <w:rFonts w:ascii="Times New Roman" w:cs="Times New Roman" w:eastAsia="Times New Roman" w:hAnsi="Times New Roman"/>
          <w:sz w:val="18"/>
          <w:szCs w:val="18"/>
          <w:color w:val="auto"/>
        </w:rPr>
      </w:pPr>
    </w:p>
    <w:p>
      <w:pPr>
        <w:ind w:right="80" w:firstLine="980"/>
        <w:spacing w:after="0" w:line="256" w:lineRule="auto"/>
        <w:tabs>
          <w:tab w:leader="none" w:pos="122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that is six (6) months after the date of the issuance of the relevant Earnout Shares, the VWAP of the Purchaser Class A Ordinary Shares over any twenty (20) Trading Days within any thirty (30) Trading Day period is greater than or equal to $15.00 (as adjusted for share splits, share capitalization, subdivisions, reorganization, recapitalization and other similar arrangements), 20% of such Earnout Shares issued on such issuance date shall be released from this Agreement and no longer be subject to the restrictions set forth herein. For the avoidance of doubt, the early release arrangement con-templated by this Section 2(b) shall not apply for more than once and no more than 20% of such Earnout Shares shall be released from this Agreement.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ind w:left="-8" w:right="20" w:firstLine="656"/>
        <w:spacing w:after="0" w:line="25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parties hereto, by their respective execution and delivery of this Agreement, hereby represents and warrants to the other party to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spacing w:after="0" w:line="187" w:lineRule="exact"/>
        <w:rPr>
          <w:rFonts w:ascii="Times New Roman" w:cs="Times New Roman" w:eastAsia="Times New Roman" w:hAnsi="Times New Roman"/>
          <w:sz w:val="18"/>
          <w:szCs w:val="18"/>
          <w:color w:val="auto"/>
        </w:rPr>
      </w:pPr>
    </w:p>
    <w:p>
      <w:pPr>
        <w:ind w:left="-8" w:right="120" w:firstLine="656"/>
        <w:spacing w:after="0" w:line="254"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hereby represents and warrants that, as of the date hereof and immediately prior to the Closing, it does not beneficially own, directly or through its nominees (as determined in accordance with Section 13(d) of the Exchange Act, and the rules and regulations prom-ulgated thereunder), any shares of capital stock of the Company, Parent or Purchaser, or any economic interest in or derivative of such stock, other than those Securities specified on the signature page hereto. For purposes of this Agreement,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(i) any Purchaser Ordinary Shares, any Purchaser Ordinary Shares received or issuable upon settlement of restricted share units or the exercise of options or warrants to purchase any Purchaser Ordinary Shares, or any securities convertible into or exercisable or exchangeable for any Purchaser Ordinary Shares, in each case, directly or indirectly held by, or beneficially owned by, the Holder immediately after the Closing, and (ii) any Earnout Shares to the extent issued pur-suant to the Merger Agreement.</w:t>
      </w:r>
    </w:p>
    <w:p>
      <w:pPr>
        <w:spacing w:after="0" w:line="191" w:lineRule="exact"/>
        <w:rPr>
          <w:rFonts w:ascii="Times New Roman" w:cs="Times New Roman" w:eastAsia="Times New Roman" w:hAnsi="Times New Roman"/>
          <w:sz w:val="18"/>
          <w:szCs w:val="18"/>
          <w:color w:val="auto"/>
        </w:rPr>
      </w:pPr>
    </w:p>
    <w:p>
      <w:pPr>
        <w:ind w:left="-8" w:right="480" w:firstLine="656"/>
        <w:spacing w:after="0" w:line="282"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Fees/Payment</w:t>
      </w:r>
      <w:r>
        <w:rPr>
          <w:rFonts w:ascii="Times New Roman" w:cs="Times New Roman" w:eastAsia="Times New Roman" w:hAnsi="Times New Roman"/>
          <w:sz w:val="18"/>
          <w:szCs w:val="18"/>
          <w:color w:val="auto"/>
        </w:rPr>
        <w:t>. Other than the consideration specifically referenced herein, the parties hereto agree that no fee, payment or additional consideration in any form has been or will be paid to the Holder in connection with this Agreement.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 binding upon Holder upon Holder’s execution and delivery of this Agreement, but this Agreement shall only become effective upon the Closing. Notwith-standing anything to the contrary contained herein, in the event that the Merger Agreement is terminated, this Agreement and all rights and obligations of the parties hereunder shall automatically terminate and be of no further force or effect.</w:t>
      </w:r>
    </w:p>
    <w:p>
      <w:pPr>
        <w:spacing w:after="0" w:line="175" w:lineRule="exact"/>
        <w:rPr>
          <w:rFonts w:ascii="Times New Roman" w:cs="Times New Roman" w:eastAsia="Times New Roman" w:hAnsi="Times New Roman"/>
          <w:sz w:val="18"/>
          <w:szCs w:val="18"/>
          <w:color w:val="auto"/>
        </w:rPr>
      </w:pPr>
    </w:p>
    <w:p>
      <w:pPr>
        <w:ind w:left="-8" w:right="120" w:firstLine="656"/>
        <w:spacing w:after="0" w:line="258"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the Merger Agreement, the Additional Agreements and the other agreements contemplated hereby and thereby, constitute the entire agreement among the parties with respect to the subject matter hereof and thereof and supersede all prior agreements and undertakings, both written and oral, among the parties, or any of them, with respect to the subject matter hereof. Any provisions of this Agreement may not be amended, nor may any right hereof be waived, except by an instrument in writing which refers to this Agreement and is signed by each of the parties hereto in the case of an amendment or modification or the party granting the waiver in the case of a waiver.</w:t>
      </w:r>
    </w:p>
    <w:p>
      <w:pPr>
        <w:spacing w:after="0" w:line="183" w:lineRule="exact"/>
        <w:rPr>
          <w:rFonts w:ascii="Times New Roman" w:cs="Times New Roman" w:eastAsia="Times New Roman" w:hAnsi="Times New Roman"/>
          <w:sz w:val="18"/>
          <w:szCs w:val="18"/>
          <w:color w:val="auto"/>
        </w:rPr>
      </w:pPr>
    </w:p>
    <w:p>
      <w:pPr>
        <w:ind w:left="-8" w:firstLine="656"/>
        <w:spacing w:after="0" w:line="276" w:lineRule="auto"/>
        <w:tabs>
          <w:tab w:leader="none" w:pos="8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hereunder shall be sent in writing, addressed as specified below, and shall be deemed given: (a) if by hand or recognized courier service by 4:00PM on a business day, ad-dressee’s day and time, on the date of delivery, and otherwise on the first business day after such delivery;</w:t>
      </w:r>
    </w:p>
    <w:p>
      <w:pPr>
        <w:ind w:left="-8" w:right="20" w:firstLine="8"/>
        <w:spacing w:after="0" w:line="253"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8"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 to:</w:t>
      </w:r>
    </w:p>
    <w:p>
      <w:pPr>
        <w:spacing w:after="0" w:line="225" w:lineRule="exact"/>
        <w:rPr>
          <w:rFonts w:ascii="Times New Roman" w:cs="Times New Roman" w:eastAsia="Times New Roman" w:hAnsi="Times New Roman"/>
          <w:sz w:val="18"/>
          <w:szCs w:val="18"/>
          <w:color w:val="auto"/>
        </w:rPr>
      </w:pPr>
    </w:p>
    <w:p>
      <w:pPr>
        <w:ind w:left="1612" w:right="7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SPAC I Mini Acquisition Corp 1/F, Pier 2, Central</w:t>
      </w:r>
    </w:p>
    <w:p>
      <w:pPr>
        <w:ind w:left="1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999077</w:t>
      </w:r>
    </w:p>
    <w:p>
      <w:pPr>
        <w:spacing w:after="0" w:line="9" w:lineRule="exact"/>
        <w:rPr>
          <w:rFonts w:ascii="Times New Roman" w:cs="Times New Roman" w:eastAsia="Times New Roman" w:hAnsi="Times New Roman"/>
          <w:sz w:val="18"/>
          <w:szCs w:val="18"/>
          <w:color w:val="auto"/>
        </w:rPr>
      </w:pPr>
    </w:p>
    <w:p>
      <w:pPr>
        <w:ind w:left="1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Siu Wing Fung, Alfred</w:t>
      </w:r>
    </w:p>
    <w:p>
      <w:pPr>
        <w:spacing w:after="0" w:line="9" w:lineRule="exact"/>
        <w:rPr>
          <w:rFonts w:ascii="Times New Roman" w:cs="Times New Roman" w:eastAsia="Times New Roman" w:hAnsi="Times New Roman"/>
          <w:sz w:val="18"/>
          <w:szCs w:val="18"/>
          <w:color w:val="auto"/>
        </w:rPr>
      </w:pPr>
    </w:p>
    <w:p>
      <w:pPr>
        <w:ind w:left="1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alfred.siu@newgenivf.com</w:t>
      </w:r>
    </w:p>
    <w:p>
      <w:pPr>
        <w:spacing w:after="0" w:line="9" w:lineRule="exact"/>
        <w:rPr>
          <w:rFonts w:ascii="Times New Roman" w:cs="Times New Roman" w:eastAsia="Times New Roman" w:hAnsi="Times New Roman"/>
          <w:sz w:val="18"/>
          <w:szCs w:val="18"/>
          <w:color w:val="auto"/>
        </w:rPr>
      </w:pPr>
    </w:p>
    <w:p>
      <w:pPr>
        <w:ind w:left="1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 admin@aspac.co</w:t>
      </w:r>
    </w:p>
    <w:p>
      <w:pPr>
        <w:spacing w:after="0" w:line="206"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to the address set forth on the Holder’s signature page hereto.</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27" w:name="page28"/>
    <w:bookmarkEnd w:id="27"/>
    <w:p>
      <w:pPr>
        <w:ind w:left="-20" w:right="340" w:firstLine="656"/>
        <w:spacing w:after="0" w:line="282" w:lineRule="auto"/>
        <w:tabs>
          <w:tab w:leader="none" w:pos="8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 and Headings</w:t>
      </w:r>
      <w:r>
        <w:rPr>
          <w:rFonts w:ascii="Times New Roman" w:cs="Times New Roman" w:eastAsia="Times New Roman" w:hAnsi="Times New Roman"/>
          <w:sz w:val="18"/>
          <w:szCs w:val="18"/>
          <w:color w:val="auto"/>
        </w:rPr>
        <w:t>. The enumeration and headings contained in this Agreement are for convenience of reference only and shall not control or affect the meaning or construction of any of the provisions of this Agreement.</w:t>
      </w:r>
    </w:p>
    <w:p>
      <w:pPr>
        <w:spacing w:after="0" w:line="161" w:lineRule="exact"/>
        <w:rPr>
          <w:rFonts w:ascii="Times New Roman" w:cs="Times New Roman" w:eastAsia="Times New Roman" w:hAnsi="Times New Roman"/>
          <w:sz w:val="18"/>
          <w:szCs w:val="18"/>
          <w:color w:val="auto"/>
        </w:rPr>
      </w:pPr>
    </w:p>
    <w:p>
      <w:pPr>
        <w:ind w:left="-20" w:right="300" w:firstLine="656"/>
        <w:spacing w:after="0" w:line="266"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xml:space="preserve"> This Agreement may be executed </w:t>
      </w:r>
      <w:r>
        <w:rPr>
          <w:rFonts w:ascii="Times New Roman" w:cs="Times New Roman" w:eastAsia="Times New Roman" w:hAnsi="Times New Roman"/>
          <w:sz w:val="18"/>
          <w:szCs w:val="18"/>
          <w:u w:val="single" w:color="auto"/>
          <w:color w:val="auto"/>
        </w:rPr>
        <w:t>and delivered (in-cluding by e-mail of PDF or scanned versions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facsimile transmission)</w:t>
      </w:r>
      <w:r>
        <w:rPr>
          <w:rFonts w:ascii="Times New Roman" w:cs="Times New Roman" w:eastAsia="Times New Roman" w:hAnsi="Times New Roman"/>
          <w:sz w:val="18"/>
          <w:szCs w:val="18"/>
          <w:color w:val="auto"/>
        </w:rPr>
        <w:t xml:space="preserve"> in one or more counterparts, and by the difference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jc w:val="both"/>
        <w:ind w:left="-20" w:right="60" w:firstLine="656"/>
        <w:spacing w:after="0" w:line="266" w:lineRule="auto"/>
        <w:tabs>
          <w:tab w:leader="none" w:pos="8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Purchaser and its successors and assigns.</w:t>
      </w:r>
    </w:p>
    <w:p>
      <w:pPr>
        <w:spacing w:after="0" w:line="175" w:lineRule="exact"/>
        <w:rPr>
          <w:rFonts w:ascii="Times New Roman" w:cs="Times New Roman" w:eastAsia="Times New Roman" w:hAnsi="Times New Roman"/>
          <w:sz w:val="18"/>
          <w:szCs w:val="18"/>
          <w:color w:val="auto"/>
        </w:rPr>
      </w:pPr>
    </w:p>
    <w:p>
      <w:pPr>
        <w:ind w:left="-20" w:right="120" w:firstLine="656"/>
        <w:spacing w:after="0" w:line="261"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 court or other legal authority determines that any provision that is not of the essence of this Agreement is invalid or unenforceable, such determination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9"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by written agreement executed by each of the parties hereto.</w:t>
      </w:r>
    </w:p>
    <w:p>
      <w:pPr>
        <w:spacing w:after="0" w:line="225" w:lineRule="exact"/>
        <w:rPr>
          <w:rFonts w:ascii="Times New Roman" w:cs="Times New Roman" w:eastAsia="Times New Roman" w:hAnsi="Times New Roman"/>
          <w:sz w:val="18"/>
          <w:szCs w:val="18"/>
          <w:color w:val="auto"/>
        </w:rPr>
      </w:pPr>
    </w:p>
    <w:p>
      <w:pPr>
        <w:ind w:left="-20" w:firstLine="656"/>
        <w:spacing w:after="0" w:line="266"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20" w:right="140" w:firstLine="656"/>
        <w:spacing w:after="0" w:line="282"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The provisions of Article XII (Dispute Resolution) and Sec-tion 14.8 (Governing Law) of the Merger Agreement are hereby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0" w:right="220" w:firstLine="656"/>
        <w:spacing w:after="0" w:line="282"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Controlling Agreement</w:t>
      </w:r>
      <w:r>
        <w:rPr>
          <w:rFonts w:ascii="Times New Roman" w:cs="Times New Roman" w:eastAsia="Times New Roman" w:hAnsi="Times New Roman"/>
          <w:sz w:val="18"/>
          <w:szCs w:val="18"/>
          <w:color w:val="auto"/>
        </w:rPr>
        <w:t>. To the extent the terms of this Agreement (as amended, supple-mented, restated or otherwise modified from time to time) directly conflicts with a provision in the Merger Agreement, the terms of this Agreement shall control.</w:t>
      </w:r>
    </w:p>
    <w:p>
      <w:pPr>
        <w:spacing w:after="0" w:line="161" w:lineRule="exact"/>
        <w:rPr>
          <w:rFonts w:ascii="Times New Roman" w:cs="Times New Roman" w:eastAsia="Times New Roman" w:hAnsi="Times New Roman"/>
          <w:sz w:val="18"/>
          <w:szCs w:val="18"/>
          <w:color w:val="auto"/>
        </w:rPr>
      </w:pPr>
    </w:p>
    <w:p>
      <w:pPr>
        <w:ind w:left="-20" w:firstLine="656"/>
        <w:spacing w:after="0" w:line="254"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for which monetary dam-ages, even if available, would not be an adequate remedy, would occur in the event that the parties hereto do not perform the provisions of this Agreement in accordance with its specified terms or otherwise breach or threaten to breach such provisions. The parties acknowledge and agree that the parties hereto shall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Without limiting the foregoing, each of the parties agrees that it will not oppose the granting of an injunction, specific performance and other equi-table relief on the basis that (i) there is adequate remedy at law; or (ii) an award of specific performance is not an appropriate remedy for any reason at law or in equity. Any party seeking an order or injunction to prevent breaches or threatened breaches and to enforce specifically the terms and provisions of this Agree-ment shall not be required to provide any bond or other security in connection with any such order or injunction.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signatories as of the date first indicated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 SPAC I Mini Acquisition Corp.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signatories as of the date first indicated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Siu Wing Fung, Alfred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D1, 20/F, Evergreen Villa, 43 Stubbs Road,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Attn: Siu Wing Fung, Alfred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 alfred.siu@newgenivf.com</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Fong Hei Yue, Tina</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D1, 20/F, Evergreen Villa, 43 Stubbs Road,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Attn: Fong Hei Yue, Tina</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 tinawfong@gmail.com</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NUMBER AND TYPE OF SHARES OF THE COM-</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PANY HELD BY THE HOLDER IMMEIDATELY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PRIOR TO THE CLOSING:</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494,175 ordinary voting shares</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4.21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SHARE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PURPOSE AND EFFECTIVE DATE</w:t>
      </w:r>
    </w:p>
    <w:p>
      <w:pPr>
        <w:spacing w:after="0" w:line="225" w:lineRule="exact"/>
        <w:rPr>
          <w:sz w:val="20"/>
          <w:szCs w:val="20"/>
          <w:color w:val="auto"/>
        </w:rPr>
      </w:pPr>
    </w:p>
    <w:p>
      <w:pPr>
        <w:ind w:right="20" w:firstLine="8"/>
        <w:spacing w:after="0" w:line="255" w:lineRule="auto"/>
        <w:tabs>
          <w:tab w:leader="none" w:pos="2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NewGenIvf Group Limited 2024 Share Incentive Plan (the “Plan”) is intended to promote the interests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by (i) promoting the growth and success of NewGenIvf Group Limited (the “Company”) by linking a significant portion of Participant compensation to the increase in the value of the Company’s Shares, (ii) attracting and retaining non-employee directors, executive personnel and other key employees by offering performance related incentives to achieve a competitive incentive compensation program, (iii) rewarding innovation and outstanding performance as important contributing factors to the Company’s growth and progress thereby aligning the interests of the executive officers, employees, Directors and Consultants with those of the Company’s shareholders by reinforcing the relationship between Participant rewards and shareholder gains obtained through the achievement by Plan Participants of short-term objectives and long-term goals, and (iv) encouraging executive officers, employees, Directors and Consultants to obtain and maintain an equity interest in the Company.</w:t>
      </w:r>
    </w:p>
    <w:p>
      <w:pPr>
        <w:spacing w:after="0" w:line="184" w:lineRule="exact"/>
        <w:rPr>
          <w:rFonts w:ascii="Times New Roman" w:cs="Times New Roman" w:eastAsia="Times New Roman" w:hAnsi="Times New Roman"/>
          <w:sz w:val="18"/>
          <w:szCs w:val="18"/>
          <w:b w:val="1"/>
          <w:bCs w:val="1"/>
          <w:color w:val="auto"/>
        </w:rPr>
      </w:pPr>
    </w:p>
    <w:p>
      <w:pPr>
        <w:ind w:right="340" w:firstLine="8"/>
        <w:spacing w:after="0" w:line="286" w:lineRule="auto"/>
        <w:tabs>
          <w:tab w:leader="none" w:pos="26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The Plan will become effective on and after the Effective Date. However, Awards may only be granted under the Plan if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is met.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in the Plan shall have the following meanings: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shall mean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“Affiliate” </w:t>
      </w:r>
      <w:r>
        <w:rPr>
          <w:rFonts w:ascii="Times New Roman" w:cs="Times New Roman" w:eastAsia="Times New Roman" w:hAnsi="Times New Roman"/>
          <w:sz w:val="17"/>
          <w:szCs w:val="17"/>
          <w:color w:val="auto"/>
        </w:rPr>
        <w:t>means any Person that, directly or through one or more intermediaries, is controlled by, controls, or is under common control with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means a grant of any type of award permitted under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means April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means the Compensation Committee of the Board (or such other committee of the Board with the same or similar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Person or entity rendering services to the Company or an Affiliate other than as an employee of any such entity or a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“Director” </w:t>
      </w:r>
      <w:r>
        <w:rPr>
          <w:rFonts w:ascii="Times New Roman" w:cs="Times New Roman" w:eastAsia="Times New Roman" w:hAnsi="Times New Roman"/>
          <w:sz w:val="18"/>
          <w:szCs w:val="18"/>
          <w:color w:val="auto"/>
        </w:rPr>
        <w:t>means a member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“Employee” </w:t>
      </w:r>
      <w:r>
        <w:rPr>
          <w:rFonts w:ascii="Times New Roman" w:cs="Times New Roman" w:eastAsia="Times New Roman" w:hAnsi="Times New Roman"/>
          <w:sz w:val="18"/>
          <w:szCs w:val="18"/>
          <w:color w:val="auto"/>
        </w:rPr>
        <w:t>means any officer or employee employed by any the Company and any Subsidiary thereof in a common-law employee-employer relationship.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“Employer” </w:t>
      </w:r>
      <w:r>
        <w:rPr>
          <w:rFonts w:ascii="Times New Roman" w:cs="Times New Roman" w:eastAsia="Times New Roman" w:hAnsi="Times New Roman"/>
          <w:sz w:val="18"/>
          <w:szCs w:val="18"/>
          <w:color w:val="auto"/>
        </w:rPr>
        <w:t>means the Company and any Subsidiary thereof.</w:t>
      </w:r>
    </w:p>
    <w:p>
      <w:pPr>
        <w:spacing w:after="0" w:line="22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means the closing sales price (or average of the quoted closing bid and asked prices if there is no closing sales price reported),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on a particular date of the Stock. If the Shares are neither listed on a national securities exchange nor traded in an over-the-counter market, the price determined by the Committee, in its discretion, 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an Employee, Director or Consultant selected by the Committee to receive an Award under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has the meaning given in Section 3(a)(9) of the Act, as modified and used in Sections 13(d) and 14(d) thereof.</w:t>
      </w:r>
    </w:p>
    <w:p>
      <w:pPr>
        <w:spacing w:after="0" w:line="22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Target</w:t>
      </w:r>
      <w:r>
        <w:rPr>
          <w:rFonts w:ascii="Times New Roman" w:cs="Times New Roman" w:eastAsia="Times New Roman" w:hAnsi="Times New Roman"/>
          <w:sz w:val="18"/>
          <w:szCs w:val="18"/>
          <w:color w:val="auto"/>
        </w:rPr>
        <w:t>” means the average market capitalization of the Company exceeds $1 billion for any consecutive 20 trading days on or before the second anniversary of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means the provision of services to the Company or its Affiliates in the capacity of (i) an Employee, (ii) a Director, or (iii) a Consultant.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w:t>
      </w:r>
      <w:r>
        <w:rPr>
          <w:rFonts w:ascii="Times New Roman" w:cs="Times New Roman" w:eastAsia="Times New Roman" w:hAnsi="Times New Roman"/>
          <w:sz w:val="18"/>
          <w:szCs w:val="18"/>
          <w:color w:val="auto"/>
        </w:rPr>
        <w:t>means ordinary shares of the Company.</w:t>
      </w:r>
    </w:p>
    <w:p>
      <w:pPr>
        <w:spacing w:after="0" w:line="22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business entity in which the Company possesses directly or indirectly fifty percent (50%) or more of the total combined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including entities controlled by the Company through VIE contractual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POWERS OF THE COMMITTEE</w:t>
      </w:r>
    </w:p>
    <w:p>
      <w:pPr>
        <w:spacing w:after="0" w:line="225" w:lineRule="exact"/>
        <w:rPr>
          <w:sz w:val="20"/>
          <w:szCs w:val="20"/>
          <w:color w:val="auto"/>
        </w:rPr>
      </w:pPr>
    </w:p>
    <w:p>
      <w:pPr>
        <w:ind w:right="80" w:firstLine="8"/>
        <w:spacing w:after="0" w:line="286" w:lineRule="auto"/>
        <w:tabs>
          <w:tab w:leader="none" w:pos="2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w:t>
      </w:r>
      <w:r>
        <w:rPr>
          <w:rFonts w:ascii="Times New Roman" w:cs="Times New Roman" w:eastAsia="Times New Roman" w:hAnsi="Times New Roman"/>
          <w:sz w:val="18"/>
          <w:szCs w:val="18"/>
          <w:color w:val="auto"/>
        </w:rPr>
        <w:t>Each Employee, Director or Consultant who, in the opinion of the Committee, has the capacity to contribute to the success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eligible to be a Participant in the Plan.</w:t>
      </w:r>
    </w:p>
    <w:p>
      <w:pPr>
        <w:spacing w:after="0" w:line="154" w:lineRule="exact"/>
        <w:rPr>
          <w:rFonts w:ascii="Times New Roman" w:cs="Times New Roman" w:eastAsia="Times New Roman" w:hAnsi="Times New Roman"/>
          <w:sz w:val="18"/>
          <w:szCs w:val="18"/>
          <w:b w:val="1"/>
          <w:bCs w:val="1"/>
          <w:color w:val="auto"/>
        </w:rPr>
      </w:pPr>
    </w:p>
    <w:p>
      <w:pPr>
        <w:ind w:right="80" w:firstLine="8"/>
        <w:spacing w:after="0" w:line="257" w:lineRule="auto"/>
        <w:tabs>
          <w:tab w:leader="none" w:pos="26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 to Grant and Establish Terms of Awards. </w:t>
      </w:r>
      <w:r>
        <w:rPr>
          <w:rFonts w:ascii="Times New Roman" w:cs="Times New Roman" w:eastAsia="Times New Roman" w:hAnsi="Times New Roman"/>
          <w:sz w:val="18"/>
          <w:szCs w:val="18"/>
          <w:color w:val="auto"/>
        </w:rPr>
        <w:t>The Committee shall have the discretionary authority, subject to the terms of the Plan,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Employees, Directors or Consultants to whom Awards shall be granted, the type or types of Awards to be granted, and the terms and conditions of any and all Awards including, without limitation, the number of Shares subject to an Award, the time or times at which Awards shall be granted, and the terms and conditions of applicable Award Agreements. The Committee may establish different terms and conditions for different types of Awards, for different Participants receiving the same type of Award, and for the same Participant for each type of Award such Participant may receive, whether or not granted at the same or different times.</w:t>
      </w:r>
    </w:p>
    <w:p>
      <w:pPr>
        <w:spacing w:after="0" w:line="182" w:lineRule="exact"/>
        <w:rPr>
          <w:rFonts w:ascii="Times New Roman" w:cs="Times New Roman" w:eastAsia="Times New Roman" w:hAnsi="Times New Roman"/>
          <w:sz w:val="18"/>
          <w:szCs w:val="18"/>
          <w:b w:val="1"/>
          <w:bCs w:val="1"/>
          <w:color w:val="auto"/>
        </w:rPr>
      </w:pPr>
    </w:p>
    <w:p>
      <w:pPr>
        <w:ind w:right="120" w:firstLine="8"/>
        <w:spacing w:after="0" w:line="257" w:lineRule="auto"/>
        <w:tabs>
          <w:tab w:leader="none" w:pos="24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Plan shall be administered by the Committee. The Committee shall have full discretionary authority to administer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the authority to: (i) interpret the provisions of the Plan, (ii) prescribe, amend and rescind rules and regulations relating to the Plan, (iii) correct any defect, supply any omission, or reconcile any inconsistency in any Award or agreement covering an Award in the manner and to the extent it deems desirable to carry the Plan into effect, and (iv) make all other determinations necessary or advisable for the administration of the Plan. The Committee’s decisions (including any failure to make decisions) shall be binding upon all persons, including the Company, shareholders, Employers, and each Employee, Director, Consultant or Participant, and shall be given deference in any proceeding with respect thereto.</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26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Other Committees or Officers. </w:t>
      </w:r>
      <w:r>
        <w:rPr>
          <w:rFonts w:ascii="Times New Roman" w:cs="Times New Roman" w:eastAsia="Times New Roman" w:hAnsi="Times New Roman"/>
          <w:sz w:val="18"/>
          <w:szCs w:val="18"/>
          <w:color w:val="auto"/>
        </w:rPr>
        <w:t>The Committee may delegate to the Company’s Chief Executive Officer and/or to such other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the power and authority to make and/or administer Awards under the Plan with respect to individuals who are below the position of an executive officer of the Company, pursuant to such conditions and limitations as the Committee may establish and only the Committee or the Board may select, and grant Awards to, executive officers or exercise any other discretionary authority under the Plan in respect of Awards granted to such executive officers. Unless the Committee shall otherwise specify, any delegate shall have the authority and right to exercise (within the scope of such person’s delegated authority) all of the same powers and discretion that would otherwise be available to the Committee pursuant to the terms hereof. The Committee may also appoint agents (who may be officers or employees of the Company) to assist in the administration of the Plan and may grant authority to such persons to execute agreements, including Award Agreements, or other documents on its behalf. All expenses incurred in the administration of the Plan, including, without limitation, for the engagement of any counsel, consultant or agent, shall be paid by the Company.</w:t>
      </w:r>
    </w:p>
    <w:p>
      <w:pPr>
        <w:spacing w:after="0" w:line="188" w:lineRule="exact"/>
        <w:rPr>
          <w:rFonts w:ascii="Times New Roman" w:cs="Times New Roman" w:eastAsia="Times New Roman" w:hAnsi="Times New Roman"/>
          <w:sz w:val="18"/>
          <w:szCs w:val="18"/>
          <w:b w:val="1"/>
          <w:bCs w:val="1"/>
          <w:color w:val="auto"/>
        </w:rPr>
      </w:pPr>
    </w:p>
    <w:p>
      <w:pPr>
        <w:ind w:right="220" w:firstLine="8"/>
        <w:spacing w:after="0" w:line="268" w:lineRule="auto"/>
        <w:tabs>
          <w:tab w:leader="none" w:pos="24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Company will indemnify and hold harmless each member of the Board and the Committee, and each officer or member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committee to whom a delegation under Section 3(b) has been made, as to any acts or omissions with respect to the Plan or any Award to the maximum extent that the law and the Company’s By-Laws permit.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SECTION 4. MAXIMUM AMOUNT AVAILABLE FOR AWARDS</w:t>
      </w:r>
    </w:p>
    <w:p>
      <w:pPr>
        <w:spacing w:after="0" w:line="225" w:lineRule="exact"/>
        <w:rPr>
          <w:sz w:val="20"/>
          <w:szCs w:val="20"/>
          <w:color w:val="auto"/>
        </w:rPr>
      </w:pPr>
    </w:p>
    <w:p>
      <w:pPr>
        <w:ind w:right="40" w:firstLine="8"/>
        <w:spacing w:after="0" w:line="268" w:lineRule="auto"/>
        <w:tabs>
          <w:tab w:leader="none" w:pos="2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Subject in all cases to the provisions of this Section 4, the maximum number of Shares that are available for Awards shall be 10% of the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ordinary shares of the Company. Shares may be made available from Shares held in treasury or authorized but unissued shares of the Company not reserved for any other purpose.</w:t>
      </w:r>
    </w:p>
    <w:p>
      <w:pPr>
        <w:spacing w:after="0" w:line="170" w:lineRule="exact"/>
        <w:rPr>
          <w:rFonts w:ascii="Times New Roman" w:cs="Times New Roman" w:eastAsia="Times New Roman" w:hAnsi="Times New Roman"/>
          <w:sz w:val="18"/>
          <w:szCs w:val="18"/>
          <w:b w:val="1"/>
          <w:bCs w:val="1"/>
          <w:color w:val="auto"/>
        </w:rPr>
      </w:pPr>
    </w:p>
    <w:p>
      <w:pPr>
        <w:ind w:right="400" w:firstLine="8"/>
        <w:spacing w:after="0" w:line="286" w:lineRule="auto"/>
        <w:tabs>
          <w:tab w:leader="none" w:pos="26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Canceled, Terminated or Forfeited Awards, Etc. </w:t>
      </w:r>
      <w:r>
        <w:rPr>
          <w:rFonts w:ascii="Times New Roman" w:cs="Times New Roman" w:eastAsia="Times New Roman" w:hAnsi="Times New Roman"/>
          <w:sz w:val="18"/>
          <w:szCs w:val="18"/>
          <w:color w:val="auto"/>
        </w:rPr>
        <w:t>Any Share subject to an Award which for any reason expires without having been exercised,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canceled or terminated or otherwise is settled without the issuance of any Share shall again be available for grant under the Plan.</w:t>
      </w:r>
    </w:p>
    <w:p>
      <w:pPr>
        <w:spacing w:after="0" w:line="15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of any dividend, share split, combination or exchange of Shares, amalgamation, arrangement or consolidation, spin-off,</w:t>
      </w:r>
    </w:p>
    <w:p>
      <w:pPr>
        <w:spacing w:after="0" w:line="31" w:lineRule="exact"/>
        <w:rPr>
          <w:rFonts w:ascii="Times New Roman" w:cs="Times New Roman" w:eastAsia="Times New Roman" w:hAnsi="Times New Roman"/>
          <w:sz w:val="18"/>
          <w:szCs w:val="18"/>
          <w:b w:val="1"/>
          <w:bCs w:val="1"/>
          <w:color w:val="auto"/>
        </w:rPr>
      </w:pPr>
    </w:p>
    <w:p>
      <w:pPr>
        <w:ind w:right="1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recapitalization or other distribution (other than normal cash dividends) of Company assets to its shareholders, or any other change affecting the shares of Shares or the share price of a Share, the Committee shall make such proportionate adjustments, if any, as the Committee in its discretion may deem appropriate to reflect such change with respect to (a) the aggregate number and type of shares that may be issued under the Plan; (b) the terms and conditions of any outstanding Awards (including, without limitation, any applicable performance targets or criteria with respect thereto); and (c) the grant or exercise price per share for any outstanding Awards under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EFFECTIVE DATE, AMENDMENT, MODIFICATION AND TERMINATION OF THE PLAN OR AWARDS</w:t>
      </w:r>
    </w:p>
    <w:p>
      <w:pPr>
        <w:spacing w:after="0" w:line="225" w:lineRule="exact"/>
        <w:rPr>
          <w:sz w:val="20"/>
          <w:szCs w:val="20"/>
          <w:color w:val="auto"/>
        </w:rPr>
      </w:pPr>
    </w:p>
    <w:p>
      <w:pPr>
        <w:ind w:firstLine="8"/>
        <w:spacing w:after="0" w:line="286" w:lineRule="auto"/>
        <w:tabs>
          <w:tab w:leader="none" w:pos="2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This Plan shall become effective on the date of its adoption by the Board or a committee of the Board duly authorized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The Plan will expire on, and no Award may be granted pursuant to the Plan after, the tenth anniversary of the Effective Date. Any</w:t>
      </w:r>
    </w:p>
    <w:p>
      <w:pPr>
        <w:spacing w:after="0" w:line="31" w:lineRule="exact"/>
        <w:rPr>
          <w:rFonts w:ascii="Times New Roman" w:cs="Times New Roman" w:eastAsia="Times New Roman" w:hAnsi="Times New Roman"/>
          <w:sz w:val="18"/>
          <w:szCs w:val="18"/>
          <w:b w:val="1"/>
          <w:bCs w:val="1"/>
          <w:color w:val="auto"/>
        </w:rPr>
      </w:pPr>
    </w:p>
    <w:p>
      <w:pPr>
        <w:ind w:right="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 that are outstanding on the tenth anniversary of the Effective Date shall remain in force according to the terms of the Plan and the applicable award agreement.</w:t>
      </w:r>
    </w:p>
    <w:p>
      <w:pPr>
        <w:spacing w:after="0" w:line="177" w:lineRule="exact"/>
        <w:rPr>
          <w:rFonts w:ascii="Times New Roman" w:cs="Times New Roman" w:eastAsia="Times New Roman" w:hAnsi="Times New Roman"/>
          <w:sz w:val="18"/>
          <w:szCs w:val="18"/>
          <w:b w:val="1"/>
          <w:bCs w:val="1"/>
          <w:color w:val="auto"/>
        </w:rPr>
      </w:pPr>
    </w:p>
    <w:p>
      <w:pPr>
        <w:ind w:right="240" w:firstLine="8"/>
        <w:spacing w:after="0" w:line="262" w:lineRule="auto"/>
        <w:tabs>
          <w:tab w:leader="none" w:pos="24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Modification, and Termination. </w:t>
      </w:r>
      <w:r>
        <w:rPr>
          <w:rFonts w:ascii="Times New Roman" w:cs="Times New Roman" w:eastAsia="Times New Roman" w:hAnsi="Times New Roman"/>
          <w:sz w:val="18"/>
          <w:szCs w:val="18"/>
          <w:color w:val="auto"/>
        </w:rPr>
        <w:t>At any time and from time to time, the Board or the Committee may terminate, amend or modify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necessary to comply with applicable aaws, the Company shall obtain shareholder approval of any Plan amendment in such a manner and to such a degree as required, unless the Board decides to follow home country practice not to seek the shareholder approval for any amendment or modification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GENERAL PROVISIONS</w:t>
      </w:r>
    </w:p>
    <w:p>
      <w:pPr>
        <w:spacing w:after="0" w:line="225" w:lineRule="exact"/>
        <w:rPr>
          <w:sz w:val="20"/>
          <w:szCs w:val="20"/>
          <w:color w:val="auto"/>
        </w:rPr>
      </w:pPr>
    </w:p>
    <w:p>
      <w:pPr>
        <w:ind w:right="280" w:firstLine="8"/>
        <w:spacing w:after="0" w:line="286" w:lineRule="auto"/>
        <w:tabs>
          <w:tab w:leader="none" w:pos="25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 and neither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nor the Committee is obligated to treat Participants, Employees, and other persons uniformly.</w:t>
      </w:r>
    </w:p>
    <w:p>
      <w:pPr>
        <w:spacing w:after="0" w:line="154"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26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 in fact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person in connection with such Award.</w:t>
      </w:r>
    </w:p>
    <w:p>
      <w:pPr>
        <w:spacing w:after="0" w:line="154"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4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No Shares shall be delivered under the Plan to any Participant until such Participant has made arrangements acceptable to the Committee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3" w:name="page34"/>
    <w:bookmarkEnd w:id="33"/>
    <w:p>
      <w:pPr>
        <w:ind w:left="-8" w:right="120" w:firstLine="8"/>
        <w:spacing w:after="0" w:line="268" w:lineRule="auto"/>
        <w:tabs>
          <w:tab w:leader="none" w:pos="25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terminate any Participant’s employment or services at any time, nor confer upon any Participant any right to continue in the employment or services of any Employer.</w:t>
      </w:r>
    </w:p>
    <w:p>
      <w:pPr>
        <w:spacing w:after="0" w:line="170" w:lineRule="exact"/>
        <w:rPr>
          <w:rFonts w:ascii="Times New Roman" w:cs="Times New Roman" w:eastAsia="Times New Roman" w:hAnsi="Times New Roman"/>
          <w:sz w:val="18"/>
          <w:szCs w:val="18"/>
          <w:b w:val="1"/>
          <w:bCs w:val="1"/>
          <w:color w:val="auto"/>
        </w:rPr>
      </w:pPr>
    </w:p>
    <w:p>
      <w:pPr>
        <w:ind w:left="-8" w:right="160" w:firstLine="8"/>
        <w:spacing w:after="0" w:line="262" w:lineRule="auto"/>
        <w:tabs>
          <w:tab w:leader="none" w:pos="23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Unfunded Status of Awards. </w:t>
      </w:r>
      <w:r>
        <w:rPr>
          <w:rFonts w:ascii="Times New Roman" w:cs="Times New Roman" w:eastAsia="Times New Roman" w:hAnsi="Times New Roman"/>
          <w:sz w:val="18"/>
          <w:szCs w:val="18"/>
          <w:color w:val="auto"/>
        </w:rPr>
        <w:t>This Plan is unfunded and does not create, and should not be construed to create, a trust or separate fund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Plan’s benefits. This Plan does not establish any fiduciary relationship between the Company and any Participant or other Person. To the extent any Person holds any rights by virtue of an Award granted under the Plan, such rights are no greater than the rights of the Company’s general unsecured creditors.</w:t>
      </w:r>
    </w:p>
    <w:p>
      <w:pPr>
        <w:spacing w:after="0" w:line="176" w:lineRule="exact"/>
        <w:rPr>
          <w:rFonts w:ascii="Times New Roman" w:cs="Times New Roman" w:eastAsia="Times New Roman" w:hAnsi="Times New Roman"/>
          <w:sz w:val="18"/>
          <w:szCs w:val="18"/>
          <w:b w:val="1"/>
          <w:bCs w:val="1"/>
          <w:color w:val="auto"/>
        </w:rPr>
      </w:pPr>
    </w:p>
    <w:p>
      <w:pPr>
        <w:ind w:left="-8" w:right="20" w:firstLine="8"/>
        <w:spacing w:after="0" w:line="255" w:lineRule="auto"/>
        <w:tabs>
          <w:tab w:leader="none" w:pos="21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Each person who is or shall have been a member of the Committee and each delegate of such Committee shall be indemnified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in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that the Company is given an opportunity, at its own expense, to handle and defend the same before he or she undertakes to handle and defend it personally. The foregoing right of indemnification shall not be exclusive and shall be independent of any other rights of indemnification to which such persons may be entitled under the Company’s memorandum and articles of association, by contract, as a matter of law, or otherwise.</w:t>
      </w:r>
    </w:p>
    <w:p>
      <w:pPr>
        <w:spacing w:after="0" w:line="184" w:lineRule="exact"/>
        <w:rPr>
          <w:rFonts w:ascii="Times New Roman" w:cs="Times New Roman" w:eastAsia="Times New Roman" w:hAnsi="Times New Roman"/>
          <w:sz w:val="18"/>
          <w:szCs w:val="18"/>
          <w:b w:val="1"/>
          <w:bCs w:val="1"/>
          <w:color w:val="auto"/>
        </w:rPr>
      </w:pPr>
    </w:p>
    <w:p>
      <w:pPr>
        <w:ind w:left="-8" w:right="460" w:firstLine="8"/>
        <w:spacing w:after="0" w:line="268" w:lineRule="auto"/>
        <w:tabs>
          <w:tab w:leader="none" w:pos="24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 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savings, profit sharing, group insurance, welfare or other benefit plan of the Company or any Subsidiary except to the extent otherwise expressly provided in writing in such other plan or an agreement thereunder.</w:t>
      </w:r>
    </w:p>
    <w:p>
      <w:pPr>
        <w:spacing w:after="0" w:line="170" w:lineRule="exact"/>
        <w:rPr>
          <w:rFonts w:ascii="Times New Roman" w:cs="Times New Roman" w:eastAsia="Times New Roman" w:hAnsi="Times New Roman"/>
          <w:sz w:val="18"/>
          <w:szCs w:val="18"/>
          <w:b w:val="1"/>
          <w:bCs w:val="1"/>
          <w:color w:val="auto"/>
        </w:rPr>
      </w:pPr>
    </w:p>
    <w:p>
      <w:pPr>
        <w:ind w:left="-8" w:right="60" w:firstLine="8"/>
        <w:spacing w:after="0" w:line="286" w:lineRule="auto"/>
        <w:tabs>
          <w:tab w:leader="none" w:pos="25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and headings of the Sections in the Plan are for convenience of reference only and, in the event of any conflict, the text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rather than such titles or headings, shall control.</w:t>
      </w:r>
    </w:p>
    <w:p>
      <w:pPr>
        <w:spacing w:after="0" w:line="154" w:lineRule="exact"/>
        <w:rPr>
          <w:rFonts w:ascii="Times New Roman" w:cs="Times New Roman" w:eastAsia="Times New Roman" w:hAnsi="Times New Roman"/>
          <w:sz w:val="18"/>
          <w:szCs w:val="18"/>
          <w:b w:val="1"/>
          <w:bCs w:val="1"/>
          <w:color w:val="auto"/>
        </w:rPr>
      </w:pPr>
    </w:p>
    <w:p>
      <w:pPr>
        <w:ind w:left="-8" w:right="460" w:firstLine="8"/>
        <w:spacing w:after="0" w:line="286" w:lineRule="auto"/>
        <w:tabs>
          <w:tab w:leader="none" w:pos="20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Fractional Shares. </w:t>
      </w:r>
      <w:r>
        <w:rPr>
          <w:rFonts w:ascii="Times New Roman" w:cs="Times New Roman" w:eastAsia="Times New Roman" w:hAnsi="Times New Roman"/>
          <w:sz w:val="18"/>
          <w:szCs w:val="18"/>
          <w:color w:val="auto"/>
        </w:rPr>
        <w:t>No fractional Shares shall be issued and the Committee shall determine, in its discretion, whether cash shall be given in lieu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or whether such fractional Shares shall be eliminated by rounding up or down as appropriate.</w:t>
      </w:r>
    </w:p>
    <w:p>
      <w:pPr>
        <w:spacing w:after="0" w:line="154" w:lineRule="exact"/>
        <w:rPr>
          <w:rFonts w:ascii="Times New Roman" w:cs="Times New Roman" w:eastAsia="Times New Roman" w:hAnsi="Times New Roman"/>
          <w:sz w:val="18"/>
          <w:szCs w:val="18"/>
          <w:b w:val="1"/>
          <w:bCs w:val="1"/>
          <w:color w:val="auto"/>
        </w:rPr>
      </w:pPr>
    </w:p>
    <w:p>
      <w:pPr>
        <w:ind w:left="-8" w:right="140" w:firstLine="8"/>
        <w:spacing w:after="0" w:line="259" w:lineRule="auto"/>
        <w:tabs>
          <w:tab w:leader="none" w:pos="21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79" w:lineRule="exact"/>
        <w:rPr>
          <w:rFonts w:ascii="Times New Roman" w:cs="Times New Roman" w:eastAsia="Times New Roman" w:hAnsi="Times New Roman"/>
          <w:sz w:val="18"/>
          <w:szCs w:val="18"/>
          <w:b w:val="1"/>
          <w:bCs w:val="1"/>
          <w:color w:val="auto"/>
        </w:rPr>
      </w:pPr>
    </w:p>
    <w:p>
      <w:pPr>
        <w:ind w:left="-8" w:firstLine="8"/>
        <w:spacing w:after="0" w:line="259" w:lineRule="auto"/>
        <w:tabs>
          <w:tab w:leader="none" w:pos="25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9" w:lineRule="exact"/>
        <w:rPr>
          <w:rFonts w:ascii="Times New Roman" w:cs="Times New Roman" w:eastAsia="Times New Roman" w:hAnsi="Times New Roman"/>
          <w:sz w:val="18"/>
          <w:szCs w:val="18"/>
          <w:b w:val="1"/>
          <w:bCs w:val="1"/>
          <w:color w:val="auto"/>
        </w:rPr>
      </w:pPr>
    </w:p>
    <w:p>
      <w:pPr>
        <w:ind w:left="212" w:hanging="212"/>
        <w:spacing w:after="0"/>
        <w:tabs>
          <w:tab w:leader="none" w:pos="21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and all Award Agreements shall be construed in accordance with and governed by the laws of British Virgin Islands.</w:t>
      </w:r>
    </w:p>
    <w:p>
      <w:pPr>
        <w:spacing w:after="0" w:line="225" w:lineRule="exact"/>
        <w:rPr>
          <w:sz w:val="20"/>
          <w:szCs w:val="20"/>
          <w:color w:val="auto"/>
        </w:rPr>
      </w:pPr>
    </w:p>
    <w:p>
      <w:pPr>
        <w:ind w:left="-8" w:right="340" w:firstLine="8"/>
        <w:spacing w:after="0" w:line="286" w:lineRule="auto"/>
        <w:tabs>
          <w:tab w:leader="none" w:pos="21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Appendices</w:t>
      </w:r>
      <w:r>
        <w:rPr>
          <w:rFonts w:ascii="Times New Roman" w:cs="Times New Roman" w:eastAsia="Times New Roman" w:hAnsi="Times New Roman"/>
          <w:sz w:val="18"/>
          <w:szCs w:val="18"/>
          <w:color w:val="auto"/>
        </w:rPr>
        <w:t>. The Committee may approve such supplements, amendments or appendices to the Plan as it may consider necessary or appropriate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compliance with Applicable Laws or otherwise and such supplements, amendments or appendices shall be considered a part of the Plan.</w:t>
      </w:r>
    </w:p>
    <w:p>
      <w:pPr>
        <w:spacing w:after="0" w:line="3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8.1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439"/>
        </w:trPr>
        <w:tc>
          <w:tcPr>
            <w:tcW w:w="448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29"/>
        </w:trPr>
        <w:tc>
          <w:tcPr>
            <w:tcW w:w="448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NewGenIvf Limited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44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FFPGS (HK) Limited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448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Well Image Limited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44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Med Holdings Limited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0"/>
        </w:trPr>
        <w:tc>
          <w:tcPr>
            <w:tcW w:w="448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First Fertility PGS Center Limited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29"/>
        </w:trPr>
        <w:tc>
          <w:tcPr>
            <w:tcW w:w="44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First Fertility Phnom Penh Limited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Cambodia</w:t>
            </w:r>
          </w:p>
        </w:tc>
      </w:tr>
      <w:tr>
        <w:trPr>
          <w:trHeight w:val="230"/>
        </w:trPr>
        <w:tc>
          <w:tcPr>
            <w:tcW w:w="448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First Fertility Bishkek LLC</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Kyrgyzstan</w:t>
            </w:r>
          </w:p>
        </w:tc>
      </w:tr>
    </w:tbl>
    <w:p>
      <w:pPr>
        <w:sectPr>
          <w:pgSz w:w="11900" w:h="16838" w:orient="portrait"/>
          <w:cols w:equalWidth="0" w:num="1">
            <w:col w:w="11240"/>
          </w:cols>
          <w:pgMar w:left="320" w:top="1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168275</wp:posOffset>
            </wp:positionV>
            <wp:extent cx="196278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NewGenIvf Group Limited under Item 16F of its Shell Company Report on Form 20-F dated April 9, 2024. We agree with the statements concerning our Firm in such Shell Company Report on Form 20-F; we are not in a position to agree or disagree with other statements of by NewGenIvf Group Limited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ectPr>
          <w:pgSz w:w="11900" w:h="16838" w:orient="portrait"/>
          <w:cols w:equalWidth="0" w:num="1">
            <w:col w:w="11240"/>
          </w:cols>
          <w:pgMar w:left="320" w:top="1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168275</wp:posOffset>
            </wp:positionV>
            <wp:extent cx="196278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Shell Company Report on Form 20-F of NewGenIvf Group Limited of our report dated March 28, 2024, which includes an explanatory paragraph as to the Company’s ability to continue as a going concern, with respect to our audits of the financial statements of A SPAC I Acquisition Corp. as of December 31, 2023 and 2022 and for each of the two years in the period ended December 31, 2023, which report is included in the Form 10-K of A SPAC I Acquisition Corp. for the year ended December 31, 2023. We were dismissed as auditors on April 3, 2024, and, accordingly, we have not performed any audit or review procedures with respect to any financial statements appearing in such Shell Company Report on Form 20-F for the periods after the date of our dismissal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2024</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emdash "/>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lowerLetter"/>
      <w:start w:val="4"/>
    </w:lvl>
  </w:abstractNum>
  <w:abstractNum w:abstractNumId="10">
    <w:nsid w:val="6B68079A"/>
    <w:multiLevelType w:val="hybridMultilevel"/>
    <w:lvl w:ilvl="0">
      <w:lvlJc w:val="left"/>
      <w:lvlText w:val="%1."/>
      <w:numFmt w:val="decimal"/>
      <w:start w:val="2"/>
    </w:lvl>
    <w:lvl w:ilvl="1">
      <w:lvlJc w:val="left"/>
      <w:lvlText w:val="(%2)"/>
      <w:numFmt w:val="lowerLetter"/>
      <w:start w:val="1"/>
    </w:lvl>
  </w:abstractNum>
  <w:abstractNum w:abstractNumId="11">
    <w:nsid w:val="4E6AFB6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2">
    <w:nsid w:val="25E45D3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3">
    <w:nsid w:val="519B500D"/>
    <w:multiLevelType w:val="hybridMultilevel"/>
    <w:lvl w:ilvl="0">
      <w:lvlJc w:val="left"/>
      <w:lvlText w:val="%1."/>
      <w:numFmt w:val="decimal"/>
      <w:start w:val="9"/>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4"/>
    </w:lvl>
  </w:abstractNum>
  <w:abstractNum w:abstractNumId="20">
    <w:nsid w:val="628C895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jpeg"/><Relationship Id="rId85" Type="http://schemas.openxmlformats.org/officeDocument/2006/relationships/image" Target="media/image56.jpeg"/><Relationship Id="rId30" Type="http://schemas.openxmlformats.org/officeDocument/2006/relationships/hyperlink" Target="https://www.sec.gov/Archives/edgar/data/1981662/000101376223007357/ff42023_aspac1miniacq.htm#T702" TargetMode="External"/><Relationship Id="rId31" Type="http://schemas.openxmlformats.org/officeDocument/2006/relationships/hyperlink" Target="https://www.sec.gov/Archives/edgar/data/1868775/000110465922025006/tm225054d14_ex4-2.htm" TargetMode="External"/><Relationship Id="rId32" Type="http://schemas.openxmlformats.org/officeDocument/2006/relationships/hyperlink" Target="http://www.sec.gov/Archives/edgar/data/1981662/000121390023087023/ff42023a1ex4-7_aspac1.htm" TargetMode="External"/><Relationship Id="rId33" Type="http://schemas.openxmlformats.org/officeDocument/2006/relationships/hyperlink" Target="https://www.sec.gov/Archives/edgar/data/1868775/000121390023012495/ea173753ex2-1_aspac1acq.htm" TargetMode="External"/><Relationship Id="rId34" Type="http://schemas.openxmlformats.org/officeDocument/2006/relationships/hyperlink" Target="https://www.sec.gov/Archives/edgar/data/1868775/000121390023048612/ea180200ex2-1_aspac1acq.htm" TargetMode="External"/><Relationship Id="rId35" Type="http://schemas.openxmlformats.org/officeDocument/2006/relationships/hyperlink" Target="https://www.sec.gov/Archives/edgar/data/1868775/000121390023093702/ea189487ex2-1_aspac1acq.htm" TargetMode="External"/><Relationship Id="rId36" Type="http://schemas.openxmlformats.org/officeDocument/2006/relationships/hyperlink" Target="https://www.sec.gov/Archives/edgar/data/1868775/000121390024020466/ea0201275ex2-1_aspac1.htm" TargetMode="External"/><Relationship Id="rId37" Type="http://schemas.openxmlformats.org/officeDocument/2006/relationships/hyperlink" Target="https://www.sec.gov/Archives/edgar/data/1868775/000110465922025006/tm225054d14_ex10-5.htm" TargetMode="External"/><Relationship Id="rId38" Type="http://schemas.openxmlformats.org/officeDocument/2006/relationships/hyperlink" Target="https://www.sec.gov/Archives/edgar/data/1868775/000121390023012495/ea173753ex10-1_aspac1acq.htm" TargetMode="External"/><Relationship Id="rId39" Type="http://schemas.openxmlformats.org/officeDocument/2006/relationships/hyperlink" Target="https://www.sec.gov/Archives/edgar/data/1868775/000121390023012495/ea173753ex10-2_aspac1acq.htm" TargetMode="External"/><Relationship Id="rId40" Type="http://schemas.openxmlformats.org/officeDocument/2006/relationships/hyperlink" Target="https://www.sec.gov/Archives/edgar/data/1868775/000121390024020466/ea0201275ex10-1_aspac1.htm" TargetMode="External"/><Relationship Id="rId41" Type="http://schemas.openxmlformats.org/officeDocument/2006/relationships/hyperlink" Target="https://www.sec.gov/Archives/edgar/data/1868775/000121390024020466/ea0201275ex10-2_aspac1.htm" TargetMode="External"/><Relationship Id="rId42" Type="http://schemas.openxmlformats.org/officeDocument/2006/relationships/hyperlink" Target="https://www.sec.gov/Archives/edgar/data/1868775/000121390024020466/ea0201275ex10-3_aspac1.htm" TargetMode="External"/><Relationship Id="rId43" Type="http://schemas.openxmlformats.org/officeDocument/2006/relationships/hyperlink" Target="https://www.sec.gov/Archives/edgar/data/1981662/000101376223007357/ff42023ex10-19_aspac1.htm" TargetMode="External"/><Relationship Id="rId44" Type="http://schemas.openxmlformats.org/officeDocument/2006/relationships/hyperlink" Target="https://www.sec.gov/Archives/edgar/data/1981662/000101376223007357/ff42023ex10-20_aspac1.htm" TargetMode="External"/><Relationship Id="rId45" Type="http://schemas.openxmlformats.org/officeDocument/2006/relationships/hyperlink" Target="https://www.sec.gov/Archives/edgar/data/1981662/000101376223007357/ff42023ex10-21_aspac1.htm" TargetMode="External"/><Relationship Id="rId46" Type="http://schemas.openxmlformats.org/officeDocument/2006/relationships/hyperlink" Target="https://www.sec.gov/Archives/edgar/data/1981662/000101376223007357/ff42023ex10-22_aspac1.htm" TargetMode="External"/><Relationship Id="rId47" Type="http://schemas.openxmlformats.org/officeDocument/2006/relationships/hyperlink" Target="https://www.sec.gov/Archives/edgar/data/1981662/000101376223007357/ff42023ex10-23_aspac1.htm" TargetMode="External"/><Relationship Id="rId48" Type="http://schemas.openxmlformats.org/officeDocument/2006/relationships/hyperlink" Target="https://www.sec.gov/Archives/edgar/data/1981662/000101376223007357/ff42023ex10-24_aspac1.htm" TargetMode="External"/><Relationship Id="rId49" Type="http://schemas.openxmlformats.org/officeDocument/2006/relationships/hyperlink" Target="https://www.sec.gov/Archives/edgar/data/1981662/000101376223007357/ff42023ex10-25_aspac1.htm" TargetMode="External"/><Relationship Id="rId50" Type="http://schemas.openxmlformats.org/officeDocument/2006/relationships/hyperlink" Target="https://www.sec.gov/Archives/edgar/data/1981662/000101376223007357/ff42023ex10-26_aspac1.htm" TargetMode="External"/><Relationship Id="rId51" Type="http://schemas.openxmlformats.org/officeDocument/2006/relationships/hyperlink" Target="https://www.sec.gov/Archives/edgar/data/1981662/000101376223007357/ff42023ex10-27_aspac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2024-04-09T16:30:58Z</dcterms:created>
  <dcterms:modified xsi:type="dcterms:W3CDTF">2024-04-09T16:30:58Z</dcterms:modified>
</cp:coreProperties>
</file>