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980-6k_newgen.htm"/>
      <w:bookmarkStart w:id="1" w:name="ksea03079806k_newge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(the “Company”) is furnishing this report on Form 6-K to provide its unaudited condensed consolidated balance sheet as of June 30, 2026 and its unaudited condensed consolidated statement of operations and comprehensive (loss) income for the six months ended June 30, 2026. These unaudited condensed consolidated financial statements are furnished herewith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28" w:type="dxa"/>
          <w:right w:w="0" w:type="dxa"/>
        </w:tblCellMar>
      </w:tblPr>
      <w:tblGrid>
        <w:gridCol w:w="995"/>
        <w:gridCol w:w="60"/>
        <w:gridCol w:w="7070"/>
      </w:tblGrid>
      <w:tr>
        <w:trPr/>
        <w:tc>
          <w:tcPr>
            <w:tcW w:w="99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70" w:type="dxa"/>
            <w:tcBorders>
              <w:bottom w:val="single" w:sz="12" w:space="0" w:color="000000"/>
            </w:tcBorders>
            <w:shd w:fill="FFFFFF" w:val="clear"/>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70" w:type="dxa"/>
            <w:tcBorders/>
            <w:shd w:fill="CCEEFF" w:val="clear"/>
            <w:tcMar>
              <w:bottom w:w="0" w:type="dxa"/>
            </w:tcMar>
            <w:vAlign w:val="center"/>
          </w:tcPr>
          <w:p>
            <w:pPr>
              <w:pStyle w:val="TableContents"/>
              <w:bidi w:val="0"/>
              <w:spacing w:before="0" w:after="283"/>
              <w:jc w:val="left"/>
              <w:rPr/>
            </w:pPr>
            <w:hyperlink w:anchor="ea030798001ex99-1.htm">
              <w:r>
                <w:rPr>
                  <w:rStyle w:val="InternetLink"/>
                  <w:sz w:val="20"/>
                </w:rPr>
                <w:t>NewGen Reports Unaudited Financial Results for the Six Months Ended June 30, 2026</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b/>
                <w:sz w:val="20"/>
              </w:rPr>
            </w:pPr>
            <w:r>
              <w:rPr>
                <w:b/>
                <w:sz w:val="20"/>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930" w:type="dxa"/>
            <w:tcBorders/>
            <w:vAlign w:val="center"/>
          </w:tcPr>
          <w:p>
            <w:pPr>
              <w:pStyle w:val="TableContents"/>
              <w:bidi w:val="0"/>
              <w:spacing w:before="0" w:after="283"/>
              <w:jc w:val="left"/>
              <w:rPr>
                <w:sz w:val="20"/>
              </w:rPr>
            </w:pPr>
            <w:r>
              <w:rPr>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930" w:type="dxa"/>
            <w:tcBorders/>
            <w:vAlign w:val="center"/>
          </w:tcPr>
          <w:p>
            <w:pPr>
              <w:pStyle w:val="TableContents"/>
              <w:bidi w:val="0"/>
              <w:spacing w:before="0" w:after="283"/>
              <w:jc w:val="left"/>
              <w:rPr>
                <w:sz w:val="20"/>
              </w:rPr>
            </w:pPr>
            <w:r>
              <w:rPr>
                <w:sz w:val="20"/>
              </w:rPr>
              <w:t>Chairman of the Board and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98001ex99-1.htm"/>
      <w:bookmarkStart w:id="3" w:name="ksea030798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br/>
        <w:t>UNAUDITED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264"/>
        <w:gridCol w:w="60"/>
        <w:gridCol w:w="140"/>
        <w:gridCol w:w="1100"/>
        <w:gridCol w:w="95"/>
        <w:gridCol w:w="60"/>
        <w:gridCol w:w="154"/>
        <w:gridCol w:w="1221"/>
        <w:gridCol w:w="111"/>
      </w:tblGrid>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26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(audited)</w:t>
            </w:r>
          </w:p>
        </w:tc>
        <w:tc>
          <w:tcPr>
            <w:tcW w:w="111" w:type="dxa"/>
            <w:tcBorders/>
            <w:vAlign w:val="center"/>
          </w:tcPr>
          <w:p>
            <w:pPr>
              <w:pStyle w:val="TableContents"/>
              <w:bidi w:val="0"/>
              <w:spacing w:before="0" w:after="283"/>
              <w:jc w:val="left"/>
              <w:rPr/>
            </w:pPr>
            <w:r>
              <w:rPr/>
              <w:t> </w:t>
            </w:r>
          </w:p>
        </w:tc>
      </w:tr>
      <w:tr>
        <w:trPr/>
        <w:tc>
          <w:tcPr>
            <w:tcW w:w="7264"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1,023,789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758,621</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166,531</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351,366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335,360</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Deposits, prepayments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4,482,625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503,588</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Deposit for land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4,614,749</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Deposit with a digital asset trading platform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34,987</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Deposit with futures broker,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59,369</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Receivable from agents,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392,876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794,116</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116,250</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11,126,846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7,383,571</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1,733,832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1,789,110</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473,732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504,192</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21,415,893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21,415,069</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Digital asset,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1,630,827</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1,686,667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25,310,124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25,339,198</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36,436,970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10" w:space="0" w:color="000000"/>
            </w:tcBorders>
            <w:shd w:fill="CCEEFF" w:val="clear"/>
            <w:tcMar>
              <w:bottom w:w="28" w:type="dxa"/>
            </w:tcMar>
            <w:vAlign w:val="center"/>
          </w:tcPr>
          <w:p>
            <w:pPr>
              <w:pStyle w:val="TableContents"/>
              <w:bidi w:val="0"/>
              <w:spacing w:before="0" w:after="283"/>
              <w:jc w:val="right"/>
              <w:rPr/>
            </w:pPr>
            <w:r>
              <w:rPr/>
              <w:t>32,722,769</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878,108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779,280</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711,892</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111,981</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6,421</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263,532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238,105</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1,104,543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256,056</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Embedded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710,536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262,616</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Repurchase Forbearance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6,881,250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10,508,521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2,366,351</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272,359</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Convertible notes,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4,097,366</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215,087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4,369,725</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10,723,608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6,736,076</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Ordinary shares, no par value, unlimited authorized shares and 1,152,607* and 26,736*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25,786,740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17,881,176</w:t>
            </w:r>
          </w:p>
        </w:tc>
        <w:tc>
          <w:tcPr>
            <w:tcW w:w="111"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pPr>
            <w:r>
              <w:rPr/>
              <w:t>Retained Earnings / (Accumulated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857,860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8,893,414</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(215,658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(143,071</w:t>
            </w:r>
          </w:p>
        </w:tc>
        <w:tc>
          <w:tcPr>
            <w:tcW w:w="111" w:type="dxa"/>
            <w:tcBorders/>
            <w:shd w:fill="CCEEFF" w:val="clear"/>
            <w:vAlign w:val="center"/>
          </w:tcPr>
          <w:p>
            <w:pPr>
              <w:pStyle w:val="TableContents"/>
              <w:bidi w:val="0"/>
              <w:spacing w:before="0" w:after="283"/>
              <w:jc w:val="left"/>
              <w:rPr/>
            </w:pPr>
            <w:r>
              <w:rPr/>
              <w:t>)</w:t>
            </w:r>
          </w:p>
        </w:tc>
      </w:tr>
      <w:tr>
        <w:trPr/>
        <w:tc>
          <w:tcPr>
            <w:tcW w:w="7264" w:type="dxa"/>
            <w:tcBorders/>
            <w:shd w:fill="FFFFFF" w:val="clear"/>
            <w:vAlign w:val="center"/>
          </w:tcPr>
          <w:p>
            <w:pPr>
              <w:pStyle w:val="TableContents"/>
              <w:bidi w:val="0"/>
              <w:spacing w:before="0" w:after="283"/>
              <w:jc w:val="left"/>
              <w:rPr>
                <w:b/>
              </w:rPr>
            </w:pPr>
            <w:r>
              <w:rPr>
                <w:b/>
              </w:rPr>
              <w:t>Equity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26,428,942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26,631,519</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(715,580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(644,826</w:t>
            </w:r>
          </w:p>
        </w:tc>
        <w:tc>
          <w:tcPr>
            <w:tcW w:w="111" w:type="dxa"/>
            <w:tcBorders/>
            <w:shd w:fill="CCEEFF" w:val="clear"/>
            <w:vAlign w:val="center"/>
          </w:tcPr>
          <w:p>
            <w:pPr>
              <w:pStyle w:val="TableContents"/>
              <w:bidi w:val="0"/>
              <w:spacing w:before="0" w:after="283"/>
              <w:jc w:val="left"/>
              <w:rPr/>
            </w:pPr>
            <w:r>
              <w:rPr/>
              <w:t>)</w:t>
            </w:r>
          </w:p>
        </w:tc>
      </w:tr>
      <w:tr>
        <w:trPr/>
        <w:tc>
          <w:tcPr>
            <w:tcW w:w="7264"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25,713,362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25,986,693</w:t>
            </w:r>
          </w:p>
        </w:tc>
        <w:tc>
          <w:tcPr>
            <w:tcW w:w="111" w:type="dxa"/>
            <w:tcBorders/>
            <w:shd w:fill="FFFFFF" w:val="clear"/>
            <w:vAlign w:val="center"/>
          </w:tcPr>
          <w:p>
            <w:pPr>
              <w:pStyle w:val="TableContents"/>
              <w:bidi w:val="0"/>
              <w:spacing w:before="0" w:after="283"/>
              <w:jc w:val="left"/>
              <w:rPr/>
            </w:pPr>
            <w:r>
              <w:rPr/>
              <w:t> </w:t>
            </w:r>
          </w:p>
        </w:tc>
      </w:tr>
      <w:tr>
        <w:trPr/>
        <w:tc>
          <w:tcPr>
            <w:tcW w:w="7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36,436,970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shares as presented have been adjusted retrospectively for Reverse Share Splits effected in January 2026 of 1 share for every 3 existing shares issued, in March 2026 of 1 share for every 4 existing share issued, in July 2026 of 1 share for every 3 shares issued and in September 2026 of 1 share for every 3 shares issued respectively.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br/>
        <w:t>UNAUDITED CONDENSED CONSOLIDATED STATEMENTS OF OPERATIONS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INCOME</w:t>
        <w:br/>
        <w:t>(Stated in US Dollars)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490"/>
        <w:gridCol w:w="60"/>
        <w:gridCol w:w="140"/>
        <w:gridCol w:w="1055"/>
        <w:gridCol w:w="95"/>
        <w:gridCol w:w="60"/>
        <w:gridCol w:w="140"/>
        <w:gridCol w:w="1055"/>
        <w:gridCol w:w="110"/>
      </w:tblGrid>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10"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1,924,881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2,019,628</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(1,460,393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(1,705,824</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464,488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313,804</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(416,238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(307,176</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(3,595,662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(3,247,004</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(4,011,900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(3,554,180</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(3,547,412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(3,240,376</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Other income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(3,990,911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4,062,303</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1,594</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(541,133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(357,551</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(8,079,392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(3,938,408</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(8,079,392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698,032</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(8,079,392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698,032</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(44,086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(26,943</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(8,035,306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724,975</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(99,506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(66,526</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(8,178,898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631,506</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Less: total comprehensive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(70,754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(54,536</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left"/>
              <w:rPr>
                <w:b/>
              </w:rPr>
            </w:pPr>
            <w:r>
              <w:rPr>
                <w:b/>
              </w:rPr>
              <w:t>Total comprehensive income (loss)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(8,108,144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686,042</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Earning per share –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1,418.76</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Basic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301,584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shares as presented have been adjusted retrospectively for Reverse Share Splits effected in January 2026 of 1 share for every 3 existing shares issued, in March 2026 of 1 share for every 4 existing share issued, in July 2026 of 1 share for every 3 shares issued and in September 2026 of 1 share for every 3 shares issued respectively.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842</Words>
  <Characters>5005</Characters>
  <CharactersWithSpaces>6174</CharactersWithSpaces>
  <Paragraphs>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